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3FF2F" w14:textId="172A58FA" w:rsidR="00F977A3" w:rsidRPr="00D6453F" w:rsidRDefault="003E7883" w:rsidP="00D6453F">
      <w:pPr>
        <w:tabs>
          <w:tab w:val="left" w:pos="3900"/>
        </w:tabs>
        <w:jc w:val="both"/>
        <w:rPr>
          <w:b/>
        </w:rPr>
      </w:pPr>
      <w:r w:rsidRPr="00D6453F">
        <w:rPr>
          <w:b/>
        </w:rPr>
        <w:t>A gestão de mudanças como forma de melhoria da qualidade dos serviços de TI</w:t>
      </w:r>
    </w:p>
    <w:p w14:paraId="4EA43B2C" w14:textId="77777777" w:rsidR="003E7883" w:rsidRPr="00423BDB" w:rsidRDefault="003E7883" w:rsidP="00F977A3">
      <w:pPr>
        <w:tabs>
          <w:tab w:val="left" w:pos="3900"/>
        </w:tabs>
      </w:pPr>
    </w:p>
    <w:p w14:paraId="61116DB0" w14:textId="77777777" w:rsidR="00F977A3" w:rsidRPr="00423BDB" w:rsidRDefault="00F977A3" w:rsidP="00F977A3">
      <w:pPr>
        <w:jc w:val="both"/>
        <w:rPr>
          <w:b/>
        </w:rPr>
      </w:pPr>
      <w:r w:rsidRPr="00423BDB">
        <w:rPr>
          <w:b/>
        </w:rPr>
        <w:t>Resumo</w:t>
      </w:r>
    </w:p>
    <w:p w14:paraId="74A9DAF1" w14:textId="77777777" w:rsidR="00F977A3" w:rsidRPr="00423BDB" w:rsidRDefault="00F977A3" w:rsidP="00F977A3">
      <w:pPr>
        <w:jc w:val="both"/>
      </w:pPr>
    </w:p>
    <w:p w14:paraId="33413FDF" w14:textId="77777777" w:rsidR="00F977A3" w:rsidRPr="00E40182" w:rsidRDefault="00F977A3" w:rsidP="00F977A3">
      <w:pPr>
        <w:jc w:val="both"/>
      </w:pPr>
      <w:r w:rsidRPr="00E40182">
        <w:t>Este relato versa sobre como a gestão de mudanças de tecnologia da informação</w:t>
      </w:r>
      <w:r>
        <w:t xml:space="preserve"> (TI)</w:t>
      </w:r>
      <w:r w:rsidRPr="00E40182">
        <w:t xml:space="preserve"> podem corroborar para o aumento da qualidade dos serviços. Devido a altos índices de mudanças que ocorrem para que uma empresa se adapte às necessidades de mercado, é necessário que realizem a gestão dessas mudanças baseadas em um </w:t>
      </w:r>
      <w:r w:rsidRPr="00EB6A9E">
        <w:rPr>
          <w:i/>
        </w:rPr>
        <w:t>framework</w:t>
      </w:r>
      <w:r w:rsidRPr="00E40182">
        <w:t xml:space="preserve"> que suporte e entregue serviços com</w:t>
      </w:r>
      <w:bookmarkStart w:id="0" w:name="_GoBack"/>
      <w:bookmarkEnd w:id="0"/>
      <w:r w:rsidRPr="00E40182">
        <w:t xml:space="preserve"> qualidade. Neste sentido o presente estudo visa explicar como a gestão de mudanças auxilia na melhoria da qualidade dos serviços de </w:t>
      </w:r>
      <w:r>
        <w:t>TI</w:t>
      </w:r>
      <w:r w:rsidRPr="00E40182">
        <w:t xml:space="preserve">. Com base em uma pesquisa qualitativa e fazendo-se o uso da pesquisa ação como método, uma empresa do setor financeiro foi utilizada como objeto de estudos e validou que as incidências diminuíram e que as cinco dimensões da qualidade dos serviços, propostas na SERVQUAL, foram atingidas: tangibilidade, confiabilidade, </w:t>
      </w:r>
      <w:proofErr w:type="spellStart"/>
      <w:r w:rsidRPr="00E40182">
        <w:t>responsividade</w:t>
      </w:r>
      <w:proofErr w:type="spellEnd"/>
      <w:r w:rsidRPr="00E40182">
        <w:t>, credibilidade e empatia. Conferindo, portanto, validade à proposição apresentada e confirmando que a gestão de mudanças auxilia na melhora da qualidade dos serviços.</w:t>
      </w:r>
    </w:p>
    <w:p w14:paraId="693C0C46" w14:textId="77777777" w:rsidR="00F977A3" w:rsidRPr="00423BDB" w:rsidRDefault="00F977A3" w:rsidP="00F977A3">
      <w:pPr>
        <w:jc w:val="both"/>
      </w:pPr>
      <w:r w:rsidRPr="00423BDB">
        <w:rPr>
          <w:b/>
        </w:rPr>
        <w:t>Palavras-chave</w:t>
      </w:r>
      <w:r w:rsidRPr="00423BDB">
        <w:t xml:space="preserve">: </w:t>
      </w:r>
      <w:r>
        <w:t>Gestão de mudanças; SERVQUAL; TI; Qualidade em serviços.</w:t>
      </w:r>
    </w:p>
    <w:p w14:paraId="3FAFD776" w14:textId="77777777" w:rsidR="00F977A3" w:rsidRPr="00423BDB" w:rsidRDefault="00F977A3" w:rsidP="00F977A3">
      <w:pPr>
        <w:jc w:val="both"/>
      </w:pPr>
    </w:p>
    <w:p w14:paraId="35C94A67" w14:textId="27F161A0" w:rsidR="003E7883" w:rsidRPr="00D6453F" w:rsidRDefault="003E7883" w:rsidP="00D6453F">
      <w:pPr>
        <w:rPr>
          <w:b/>
        </w:rPr>
      </w:pPr>
      <w:r w:rsidRPr="00D6453F">
        <w:rPr>
          <w:b/>
        </w:rPr>
        <w:t xml:space="preserve">The </w:t>
      </w:r>
      <w:proofErr w:type="spellStart"/>
      <w:r w:rsidRPr="00D6453F">
        <w:rPr>
          <w:b/>
        </w:rPr>
        <w:t>change</w:t>
      </w:r>
      <w:proofErr w:type="spellEnd"/>
      <w:r w:rsidRPr="00D6453F">
        <w:rPr>
          <w:b/>
        </w:rPr>
        <w:t xml:space="preserve"> management as a </w:t>
      </w:r>
      <w:proofErr w:type="spellStart"/>
      <w:r w:rsidRPr="00D6453F">
        <w:rPr>
          <w:b/>
        </w:rPr>
        <w:t>way</w:t>
      </w:r>
      <w:proofErr w:type="spellEnd"/>
      <w:r w:rsidRPr="00D6453F">
        <w:rPr>
          <w:b/>
        </w:rPr>
        <w:t xml:space="preserve"> </w:t>
      </w:r>
      <w:proofErr w:type="spellStart"/>
      <w:r w:rsidRPr="00D6453F">
        <w:rPr>
          <w:b/>
        </w:rPr>
        <w:t>to</w:t>
      </w:r>
      <w:proofErr w:type="spellEnd"/>
      <w:r w:rsidRPr="00D6453F">
        <w:rPr>
          <w:b/>
        </w:rPr>
        <w:t xml:space="preserve"> improve IT </w:t>
      </w:r>
      <w:proofErr w:type="spellStart"/>
      <w:r w:rsidRPr="00D6453F">
        <w:rPr>
          <w:b/>
        </w:rPr>
        <w:t>service</w:t>
      </w:r>
      <w:proofErr w:type="spellEnd"/>
      <w:r w:rsidRPr="00D6453F">
        <w:rPr>
          <w:b/>
        </w:rPr>
        <w:t xml:space="preserve"> </w:t>
      </w:r>
      <w:proofErr w:type="spellStart"/>
      <w:r w:rsidRPr="00D6453F">
        <w:rPr>
          <w:b/>
        </w:rPr>
        <w:t>quality</w:t>
      </w:r>
      <w:proofErr w:type="spellEnd"/>
    </w:p>
    <w:p w14:paraId="57E99146" w14:textId="06383141" w:rsidR="00F977A3" w:rsidRPr="00423BDB" w:rsidRDefault="003E7883" w:rsidP="00F977A3">
      <w:pPr>
        <w:jc w:val="both"/>
      </w:pPr>
      <w:r>
        <w:t xml:space="preserve"> </w:t>
      </w:r>
    </w:p>
    <w:p w14:paraId="3677083E" w14:textId="77777777" w:rsidR="00F977A3" w:rsidRPr="00423BDB" w:rsidRDefault="00F977A3" w:rsidP="00F977A3">
      <w:pPr>
        <w:jc w:val="both"/>
        <w:rPr>
          <w:b/>
        </w:rPr>
      </w:pPr>
      <w:r w:rsidRPr="00423BDB">
        <w:rPr>
          <w:b/>
        </w:rPr>
        <w:t>Abstract</w:t>
      </w:r>
    </w:p>
    <w:p w14:paraId="0F83F5E3" w14:textId="77777777" w:rsidR="00F977A3" w:rsidRPr="00423BDB" w:rsidRDefault="00F977A3" w:rsidP="00F977A3">
      <w:pPr>
        <w:jc w:val="both"/>
      </w:pPr>
    </w:p>
    <w:p w14:paraId="547CC441" w14:textId="77777777" w:rsidR="00F977A3" w:rsidRPr="00E40182" w:rsidRDefault="00F977A3" w:rsidP="00F977A3">
      <w:pPr>
        <w:contextualSpacing/>
        <w:jc w:val="both"/>
        <w:rPr>
          <w:color w:val="999999"/>
        </w:rPr>
      </w:pPr>
      <w:proofErr w:type="spellStart"/>
      <w:r w:rsidRPr="00E40182">
        <w:t>This</w:t>
      </w:r>
      <w:proofErr w:type="spellEnd"/>
      <w:r w:rsidRPr="00E40182">
        <w:t xml:space="preserve"> </w:t>
      </w:r>
      <w:proofErr w:type="spellStart"/>
      <w:r w:rsidRPr="00E40182">
        <w:t>report</w:t>
      </w:r>
      <w:proofErr w:type="spellEnd"/>
      <w:r w:rsidRPr="00E40182">
        <w:t xml:space="preserve"> </w:t>
      </w:r>
      <w:proofErr w:type="spellStart"/>
      <w:r w:rsidRPr="00E40182">
        <w:t>deals</w:t>
      </w:r>
      <w:proofErr w:type="spellEnd"/>
      <w:r w:rsidRPr="00E40182">
        <w:t xml:space="preserve"> </w:t>
      </w:r>
      <w:proofErr w:type="spellStart"/>
      <w:r w:rsidRPr="00E40182">
        <w:t>with</w:t>
      </w:r>
      <w:proofErr w:type="spellEnd"/>
      <w:r w:rsidRPr="00E40182">
        <w:t xml:space="preserve"> </w:t>
      </w:r>
      <w:proofErr w:type="spellStart"/>
      <w:r w:rsidRPr="00E40182">
        <w:t>how</w:t>
      </w:r>
      <w:proofErr w:type="spellEnd"/>
      <w:r w:rsidRPr="00E40182">
        <w:t xml:space="preserve"> </w:t>
      </w:r>
      <w:proofErr w:type="spellStart"/>
      <w:r w:rsidRPr="00E40182">
        <w:t>information</w:t>
      </w:r>
      <w:proofErr w:type="spellEnd"/>
      <w:r w:rsidRPr="00E40182">
        <w:t xml:space="preserve"> </w:t>
      </w:r>
      <w:proofErr w:type="spellStart"/>
      <w:r w:rsidRPr="00E40182">
        <w:t>technology</w:t>
      </w:r>
      <w:proofErr w:type="spellEnd"/>
      <w:r w:rsidRPr="00E40182">
        <w:t xml:space="preserve"> </w:t>
      </w:r>
      <w:proofErr w:type="spellStart"/>
      <w:r w:rsidRPr="00E40182">
        <w:t>change</w:t>
      </w:r>
      <w:proofErr w:type="spellEnd"/>
      <w:r w:rsidRPr="00E40182">
        <w:t xml:space="preserve"> management </w:t>
      </w:r>
      <w:proofErr w:type="spellStart"/>
      <w:r w:rsidRPr="00E40182">
        <w:t>can</w:t>
      </w:r>
      <w:proofErr w:type="spellEnd"/>
      <w:r w:rsidRPr="00E40182">
        <w:t xml:space="preserve"> help </w:t>
      </w:r>
      <w:proofErr w:type="spellStart"/>
      <w:r w:rsidRPr="00E40182">
        <w:t>to</w:t>
      </w:r>
      <w:proofErr w:type="spellEnd"/>
      <w:r w:rsidRPr="00E40182">
        <w:t xml:space="preserve"> </w:t>
      </w:r>
      <w:proofErr w:type="spellStart"/>
      <w:r w:rsidRPr="00E40182">
        <w:t>increase</w:t>
      </w:r>
      <w:proofErr w:type="spellEnd"/>
      <w:r w:rsidRPr="00E40182">
        <w:t xml:space="preserve"> </w:t>
      </w:r>
      <w:proofErr w:type="spellStart"/>
      <w:r w:rsidRPr="00E40182">
        <w:t>the</w:t>
      </w:r>
      <w:proofErr w:type="spellEnd"/>
      <w:r w:rsidRPr="00E40182">
        <w:t xml:space="preserve"> </w:t>
      </w:r>
      <w:proofErr w:type="spellStart"/>
      <w:r w:rsidRPr="00E40182">
        <w:t>quality</w:t>
      </w:r>
      <w:proofErr w:type="spellEnd"/>
      <w:r w:rsidRPr="00E40182">
        <w:t xml:space="preserve"> </w:t>
      </w:r>
      <w:proofErr w:type="spellStart"/>
      <w:r w:rsidRPr="00E40182">
        <w:t>of</w:t>
      </w:r>
      <w:proofErr w:type="spellEnd"/>
      <w:r w:rsidRPr="00E40182">
        <w:t xml:space="preserve"> </w:t>
      </w:r>
      <w:proofErr w:type="spellStart"/>
      <w:r w:rsidRPr="00E40182">
        <w:t>services</w:t>
      </w:r>
      <w:proofErr w:type="spellEnd"/>
      <w:r w:rsidRPr="00E40182">
        <w:t xml:space="preserve">. </w:t>
      </w:r>
      <w:proofErr w:type="spellStart"/>
      <w:r w:rsidRPr="00E40182">
        <w:t>Due</w:t>
      </w:r>
      <w:proofErr w:type="spellEnd"/>
      <w:r w:rsidRPr="00E40182">
        <w:t xml:space="preserve"> </w:t>
      </w:r>
      <w:proofErr w:type="spellStart"/>
      <w:r w:rsidRPr="00E40182">
        <w:t>to</w:t>
      </w:r>
      <w:proofErr w:type="spellEnd"/>
      <w:r w:rsidRPr="00E40182">
        <w:t xml:space="preserve"> high rates </w:t>
      </w:r>
      <w:proofErr w:type="spellStart"/>
      <w:r w:rsidRPr="00E40182">
        <w:t>of</w:t>
      </w:r>
      <w:proofErr w:type="spellEnd"/>
      <w:r w:rsidRPr="00E40182">
        <w:t xml:space="preserve"> </w:t>
      </w:r>
      <w:proofErr w:type="spellStart"/>
      <w:r w:rsidRPr="00E40182">
        <w:t>changes</w:t>
      </w:r>
      <w:proofErr w:type="spellEnd"/>
      <w:r w:rsidRPr="00E40182">
        <w:t xml:space="preserve"> </w:t>
      </w:r>
      <w:proofErr w:type="spellStart"/>
      <w:r w:rsidRPr="00E40182">
        <w:t>that</w:t>
      </w:r>
      <w:proofErr w:type="spellEnd"/>
      <w:r w:rsidRPr="00E40182">
        <w:t xml:space="preserve"> </w:t>
      </w:r>
      <w:proofErr w:type="spellStart"/>
      <w:r w:rsidRPr="00E40182">
        <w:t>occur</w:t>
      </w:r>
      <w:proofErr w:type="spellEnd"/>
      <w:r w:rsidRPr="00E40182">
        <w:t xml:space="preserve"> for a </w:t>
      </w:r>
      <w:proofErr w:type="spellStart"/>
      <w:r w:rsidRPr="00E40182">
        <w:t>company</w:t>
      </w:r>
      <w:proofErr w:type="spellEnd"/>
      <w:r w:rsidRPr="00E40182">
        <w:t xml:space="preserve"> </w:t>
      </w:r>
      <w:proofErr w:type="spellStart"/>
      <w:r w:rsidRPr="00E40182">
        <w:t>to</w:t>
      </w:r>
      <w:proofErr w:type="spellEnd"/>
      <w:r w:rsidRPr="00E40182">
        <w:t xml:space="preserve"> </w:t>
      </w:r>
      <w:proofErr w:type="spellStart"/>
      <w:r w:rsidRPr="00E40182">
        <w:t>adapt</w:t>
      </w:r>
      <w:proofErr w:type="spellEnd"/>
      <w:r w:rsidRPr="00E40182">
        <w:t xml:space="preserve"> </w:t>
      </w:r>
      <w:proofErr w:type="spellStart"/>
      <w:r w:rsidRPr="00E40182">
        <w:t>to</w:t>
      </w:r>
      <w:proofErr w:type="spellEnd"/>
      <w:r w:rsidRPr="00E40182">
        <w:t xml:space="preserve"> </w:t>
      </w:r>
      <w:proofErr w:type="spellStart"/>
      <w:r w:rsidRPr="00E40182">
        <w:t>market</w:t>
      </w:r>
      <w:proofErr w:type="spellEnd"/>
      <w:r w:rsidRPr="00E40182">
        <w:t xml:space="preserve"> </w:t>
      </w:r>
      <w:proofErr w:type="spellStart"/>
      <w:r w:rsidRPr="00E40182">
        <w:t>needs</w:t>
      </w:r>
      <w:proofErr w:type="spellEnd"/>
      <w:r w:rsidRPr="00E40182">
        <w:t xml:space="preserve">, it </w:t>
      </w:r>
      <w:proofErr w:type="spellStart"/>
      <w:r w:rsidRPr="00E40182">
        <w:t>is</w:t>
      </w:r>
      <w:proofErr w:type="spellEnd"/>
      <w:r w:rsidRPr="00E40182">
        <w:t xml:space="preserve"> </w:t>
      </w:r>
      <w:proofErr w:type="spellStart"/>
      <w:r w:rsidRPr="00E40182">
        <w:t>necessary</w:t>
      </w:r>
      <w:proofErr w:type="spellEnd"/>
      <w:r w:rsidRPr="00E40182">
        <w:t xml:space="preserve"> </w:t>
      </w:r>
      <w:proofErr w:type="spellStart"/>
      <w:r w:rsidRPr="00E40182">
        <w:t>to</w:t>
      </w:r>
      <w:proofErr w:type="spellEnd"/>
      <w:r w:rsidRPr="00E40182">
        <w:t xml:space="preserve"> </w:t>
      </w:r>
      <w:proofErr w:type="spellStart"/>
      <w:r w:rsidRPr="00E40182">
        <w:t>carry</w:t>
      </w:r>
      <w:proofErr w:type="spellEnd"/>
      <w:r w:rsidRPr="00E40182">
        <w:t xml:space="preserve"> out </w:t>
      </w:r>
      <w:proofErr w:type="spellStart"/>
      <w:r w:rsidRPr="00E40182">
        <w:t>the</w:t>
      </w:r>
      <w:proofErr w:type="spellEnd"/>
      <w:r w:rsidRPr="00E40182">
        <w:t xml:space="preserve"> management </w:t>
      </w:r>
      <w:proofErr w:type="spellStart"/>
      <w:r w:rsidRPr="00E40182">
        <w:t>of</w:t>
      </w:r>
      <w:proofErr w:type="spellEnd"/>
      <w:r w:rsidRPr="00E40182">
        <w:t xml:space="preserve"> </w:t>
      </w:r>
      <w:proofErr w:type="spellStart"/>
      <w:r w:rsidRPr="00E40182">
        <w:t>these</w:t>
      </w:r>
      <w:proofErr w:type="spellEnd"/>
      <w:r w:rsidRPr="00E40182">
        <w:t xml:space="preserve"> </w:t>
      </w:r>
      <w:proofErr w:type="spellStart"/>
      <w:r w:rsidRPr="00E40182">
        <w:t>changes</w:t>
      </w:r>
      <w:proofErr w:type="spellEnd"/>
      <w:r w:rsidRPr="00E40182">
        <w:t xml:space="preserve"> </w:t>
      </w:r>
      <w:proofErr w:type="spellStart"/>
      <w:r w:rsidRPr="00E40182">
        <w:t>based</w:t>
      </w:r>
      <w:proofErr w:type="spellEnd"/>
      <w:r w:rsidRPr="00E40182">
        <w:t xml:space="preserve"> </w:t>
      </w:r>
      <w:proofErr w:type="spellStart"/>
      <w:r w:rsidRPr="00E40182">
        <w:t>on</w:t>
      </w:r>
      <w:proofErr w:type="spellEnd"/>
      <w:r w:rsidRPr="00E40182">
        <w:t xml:space="preserve"> a framework </w:t>
      </w:r>
      <w:proofErr w:type="spellStart"/>
      <w:r w:rsidRPr="00E40182">
        <w:t>that</w:t>
      </w:r>
      <w:proofErr w:type="spellEnd"/>
      <w:r w:rsidRPr="00E40182">
        <w:t xml:space="preserve"> </w:t>
      </w:r>
      <w:proofErr w:type="spellStart"/>
      <w:r w:rsidRPr="00E40182">
        <w:t>supports</w:t>
      </w:r>
      <w:proofErr w:type="spellEnd"/>
      <w:r w:rsidRPr="00E40182">
        <w:t xml:space="preserve"> </w:t>
      </w:r>
      <w:proofErr w:type="spellStart"/>
      <w:r w:rsidRPr="00E40182">
        <w:t>and</w:t>
      </w:r>
      <w:proofErr w:type="spellEnd"/>
      <w:r w:rsidRPr="00E40182">
        <w:t xml:space="preserve"> </w:t>
      </w:r>
      <w:proofErr w:type="spellStart"/>
      <w:r w:rsidRPr="00E40182">
        <w:t>delivers</w:t>
      </w:r>
      <w:proofErr w:type="spellEnd"/>
      <w:r w:rsidRPr="00E40182">
        <w:t xml:space="preserve"> </w:t>
      </w:r>
      <w:proofErr w:type="spellStart"/>
      <w:r w:rsidRPr="00E40182">
        <w:t>services</w:t>
      </w:r>
      <w:proofErr w:type="spellEnd"/>
      <w:r w:rsidRPr="00E40182">
        <w:t xml:space="preserve"> </w:t>
      </w:r>
      <w:proofErr w:type="spellStart"/>
      <w:r w:rsidRPr="00E40182">
        <w:t>with</w:t>
      </w:r>
      <w:proofErr w:type="spellEnd"/>
      <w:r w:rsidRPr="00E40182">
        <w:t xml:space="preserve"> </w:t>
      </w:r>
      <w:proofErr w:type="spellStart"/>
      <w:r w:rsidRPr="00E40182">
        <w:t>quality</w:t>
      </w:r>
      <w:proofErr w:type="spellEnd"/>
      <w:r w:rsidRPr="00E40182">
        <w:t xml:space="preserve">. In </w:t>
      </w:r>
      <w:proofErr w:type="spellStart"/>
      <w:r w:rsidRPr="00E40182">
        <w:t>this</w:t>
      </w:r>
      <w:proofErr w:type="spellEnd"/>
      <w:r w:rsidRPr="00E40182">
        <w:t xml:space="preserve"> </w:t>
      </w:r>
      <w:proofErr w:type="spellStart"/>
      <w:r w:rsidRPr="00E40182">
        <w:t>sense</w:t>
      </w:r>
      <w:proofErr w:type="spellEnd"/>
      <w:r w:rsidRPr="00E40182">
        <w:t xml:space="preserve"> </w:t>
      </w:r>
      <w:proofErr w:type="spellStart"/>
      <w:r w:rsidRPr="00E40182">
        <w:t>the</w:t>
      </w:r>
      <w:proofErr w:type="spellEnd"/>
      <w:r w:rsidRPr="00E40182">
        <w:t xml:space="preserve"> </w:t>
      </w:r>
      <w:proofErr w:type="spellStart"/>
      <w:r w:rsidRPr="00E40182">
        <w:t>present</w:t>
      </w:r>
      <w:proofErr w:type="spellEnd"/>
      <w:r w:rsidRPr="00E40182">
        <w:t xml:space="preserve"> </w:t>
      </w:r>
      <w:proofErr w:type="spellStart"/>
      <w:r w:rsidRPr="00E40182">
        <w:t>study</w:t>
      </w:r>
      <w:proofErr w:type="spellEnd"/>
      <w:r w:rsidRPr="00E40182">
        <w:t xml:space="preserve"> </w:t>
      </w:r>
      <w:proofErr w:type="spellStart"/>
      <w:r w:rsidRPr="00E40182">
        <w:t>aims</w:t>
      </w:r>
      <w:proofErr w:type="spellEnd"/>
      <w:r w:rsidRPr="00E40182">
        <w:t xml:space="preserve"> </w:t>
      </w:r>
      <w:proofErr w:type="spellStart"/>
      <w:r w:rsidRPr="00E40182">
        <w:t>to</w:t>
      </w:r>
      <w:proofErr w:type="spellEnd"/>
      <w:r w:rsidRPr="00E40182">
        <w:t xml:space="preserve"> </w:t>
      </w:r>
      <w:proofErr w:type="spellStart"/>
      <w:r w:rsidRPr="00E40182">
        <w:t>explain</w:t>
      </w:r>
      <w:proofErr w:type="spellEnd"/>
      <w:r w:rsidRPr="00E40182">
        <w:t xml:space="preserve"> </w:t>
      </w:r>
      <w:proofErr w:type="spellStart"/>
      <w:r w:rsidRPr="00E40182">
        <w:t>how</w:t>
      </w:r>
      <w:proofErr w:type="spellEnd"/>
      <w:r w:rsidRPr="00E40182">
        <w:t xml:space="preserve"> </w:t>
      </w:r>
      <w:proofErr w:type="spellStart"/>
      <w:r w:rsidRPr="00E40182">
        <w:t>the</w:t>
      </w:r>
      <w:proofErr w:type="spellEnd"/>
      <w:r w:rsidRPr="00E40182">
        <w:t xml:space="preserve"> </w:t>
      </w:r>
      <w:proofErr w:type="spellStart"/>
      <w:r w:rsidRPr="00E40182">
        <w:t>change</w:t>
      </w:r>
      <w:proofErr w:type="spellEnd"/>
      <w:r w:rsidRPr="00E40182">
        <w:t xml:space="preserve"> management helps in </w:t>
      </w:r>
      <w:proofErr w:type="spellStart"/>
      <w:r w:rsidRPr="00E40182">
        <w:t>improving</w:t>
      </w:r>
      <w:proofErr w:type="spellEnd"/>
      <w:r w:rsidRPr="00E40182">
        <w:t xml:space="preserve"> </w:t>
      </w:r>
      <w:proofErr w:type="spellStart"/>
      <w:r w:rsidRPr="00E40182">
        <w:t>the</w:t>
      </w:r>
      <w:proofErr w:type="spellEnd"/>
      <w:r w:rsidRPr="00E40182">
        <w:t xml:space="preserve"> </w:t>
      </w:r>
      <w:proofErr w:type="spellStart"/>
      <w:r w:rsidRPr="00E40182">
        <w:t>quality</w:t>
      </w:r>
      <w:proofErr w:type="spellEnd"/>
      <w:r w:rsidRPr="00E40182">
        <w:t xml:space="preserve"> </w:t>
      </w:r>
      <w:proofErr w:type="spellStart"/>
      <w:r w:rsidRPr="00E40182">
        <w:t>of</w:t>
      </w:r>
      <w:proofErr w:type="spellEnd"/>
      <w:r w:rsidRPr="00E40182">
        <w:t xml:space="preserve"> </w:t>
      </w:r>
      <w:proofErr w:type="spellStart"/>
      <w:r>
        <w:t>IT</w:t>
      </w:r>
      <w:r w:rsidRPr="00E40182">
        <w:t>nology</w:t>
      </w:r>
      <w:proofErr w:type="spellEnd"/>
      <w:r w:rsidRPr="00E40182">
        <w:t xml:space="preserve"> </w:t>
      </w:r>
      <w:proofErr w:type="spellStart"/>
      <w:r w:rsidRPr="00E40182">
        <w:t>services</w:t>
      </w:r>
      <w:proofErr w:type="spellEnd"/>
      <w:r w:rsidRPr="00E40182">
        <w:t xml:space="preserve">. </w:t>
      </w:r>
      <w:proofErr w:type="spellStart"/>
      <w:r w:rsidRPr="00E40182">
        <w:t>Based</w:t>
      </w:r>
      <w:proofErr w:type="spellEnd"/>
      <w:r w:rsidRPr="00E40182">
        <w:t xml:space="preserve"> </w:t>
      </w:r>
      <w:proofErr w:type="spellStart"/>
      <w:r w:rsidRPr="00E40182">
        <w:t>on</w:t>
      </w:r>
      <w:proofErr w:type="spellEnd"/>
      <w:r w:rsidRPr="00E40182">
        <w:t xml:space="preserve"> </w:t>
      </w:r>
      <w:proofErr w:type="spellStart"/>
      <w:r w:rsidRPr="00E40182">
        <w:t>qualitative</w:t>
      </w:r>
      <w:proofErr w:type="spellEnd"/>
      <w:r w:rsidRPr="00E40182">
        <w:t xml:space="preserve"> </w:t>
      </w:r>
      <w:proofErr w:type="spellStart"/>
      <w:r w:rsidRPr="00E40182">
        <w:t>research</w:t>
      </w:r>
      <w:proofErr w:type="spellEnd"/>
      <w:r w:rsidRPr="00E40182">
        <w:t xml:space="preserve"> </w:t>
      </w:r>
      <w:proofErr w:type="spellStart"/>
      <w:r w:rsidRPr="00E40182">
        <w:t>and</w:t>
      </w:r>
      <w:proofErr w:type="spellEnd"/>
      <w:r w:rsidRPr="00E40182">
        <w:t xml:space="preserve"> </w:t>
      </w:r>
      <w:proofErr w:type="spellStart"/>
      <w:r w:rsidRPr="00E40182">
        <w:t>making</w:t>
      </w:r>
      <w:proofErr w:type="spellEnd"/>
      <w:r w:rsidRPr="00E40182">
        <w:t xml:space="preserve"> </w:t>
      </w:r>
      <w:proofErr w:type="spellStart"/>
      <w:r w:rsidRPr="00E40182">
        <w:t>the</w:t>
      </w:r>
      <w:proofErr w:type="spellEnd"/>
      <w:r w:rsidRPr="00E40182">
        <w:t xml:space="preserve"> use </w:t>
      </w:r>
      <w:proofErr w:type="spellStart"/>
      <w:r w:rsidRPr="00E40182">
        <w:t>of</w:t>
      </w:r>
      <w:proofErr w:type="spellEnd"/>
      <w:r w:rsidRPr="00E40182">
        <w:t xml:space="preserve"> </w:t>
      </w:r>
      <w:proofErr w:type="spellStart"/>
      <w:r w:rsidRPr="00E40182">
        <w:t>action</w:t>
      </w:r>
      <w:proofErr w:type="spellEnd"/>
      <w:r w:rsidRPr="00E40182">
        <w:t xml:space="preserve"> </w:t>
      </w:r>
      <w:proofErr w:type="spellStart"/>
      <w:r w:rsidRPr="00E40182">
        <w:t>research</w:t>
      </w:r>
      <w:proofErr w:type="spellEnd"/>
      <w:r w:rsidRPr="00E40182">
        <w:t xml:space="preserve"> as a </w:t>
      </w:r>
      <w:proofErr w:type="spellStart"/>
      <w:r w:rsidRPr="00E40182">
        <w:t>method</w:t>
      </w:r>
      <w:proofErr w:type="spellEnd"/>
      <w:r w:rsidRPr="00E40182">
        <w:t xml:space="preserve">, a </w:t>
      </w:r>
      <w:proofErr w:type="spellStart"/>
      <w:r w:rsidRPr="00E40182">
        <w:t>company</w:t>
      </w:r>
      <w:proofErr w:type="spellEnd"/>
      <w:r w:rsidRPr="00E40182">
        <w:t xml:space="preserve"> in </w:t>
      </w:r>
      <w:proofErr w:type="spellStart"/>
      <w:r w:rsidRPr="00E40182">
        <w:t>the</w:t>
      </w:r>
      <w:proofErr w:type="spellEnd"/>
      <w:r w:rsidRPr="00E40182">
        <w:t xml:space="preserve"> financial sector </w:t>
      </w:r>
      <w:proofErr w:type="spellStart"/>
      <w:r w:rsidRPr="00E40182">
        <w:t>was</w:t>
      </w:r>
      <w:proofErr w:type="spellEnd"/>
      <w:r w:rsidRPr="00E40182">
        <w:t xml:space="preserve"> </w:t>
      </w:r>
      <w:proofErr w:type="spellStart"/>
      <w:r w:rsidRPr="00E40182">
        <w:t>used</w:t>
      </w:r>
      <w:proofErr w:type="spellEnd"/>
      <w:r w:rsidRPr="00E40182">
        <w:t xml:space="preserve"> as </w:t>
      </w:r>
      <w:proofErr w:type="spellStart"/>
      <w:r w:rsidRPr="00E40182">
        <w:t>the</w:t>
      </w:r>
      <w:proofErr w:type="spellEnd"/>
      <w:r w:rsidRPr="00E40182">
        <w:t xml:space="preserve"> </w:t>
      </w:r>
      <w:proofErr w:type="spellStart"/>
      <w:r w:rsidRPr="00E40182">
        <w:t>object</w:t>
      </w:r>
      <w:proofErr w:type="spellEnd"/>
      <w:r w:rsidRPr="00E40182">
        <w:t xml:space="preserve"> </w:t>
      </w:r>
      <w:proofErr w:type="spellStart"/>
      <w:r w:rsidRPr="00E40182">
        <w:t>of</w:t>
      </w:r>
      <w:proofErr w:type="spellEnd"/>
      <w:r w:rsidRPr="00E40182">
        <w:t xml:space="preserve"> </w:t>
      </w:r>
      <w:proofErr w:type="spellStart"/>
      <w:r w:rsidRPr="00E40182">
        <w:t>studies</w:t>
      </w:r>
      <w:proofErr w:type="spellEnd"/>
      <w:r w:rsidRPr="00E40182">
        <w:t xml:space="preserve"> </w:t>
      </w:r>
      <w:proofErr w:type="spellStart"/>
      <w:r w:rsidRPr="00E40182">
        <w:t>and</w:t>
      </w:r>
      <w:proofErr w:type="spellEnd"/>
      <w:r w:rsidRPr="00E40182">
        <w:t xml:space="preserve"> </w:t>
      </w:r>
      <w:proofErr w:type="spellStart"/>
      <w:r w:rsidRPr="00E40182">
        <w:t>validated</w:t>
      </w:r>
      <w:proofErr w:type="spellEnd"/>
      <w:r w:rsidRPr="00E40182">
        <w:t xml:space="preserve"> </w:t>
      </w:r>
      <w:proofErr w:type="spellStart"/>
      <w:r w:rsidRPr="00E40182">
        <w:t>that</w:t>
      </w:r>
      <w:proofErr w:type="spellEnd"/>
      <w:r w:rsidRPr="00E40182">
        <w:t xml:space="preserve"> </w:t>
      </w:r>
      <w:proofErr w:type="spellStart"/>
      <w:r w:rsidRPr="00E40182">
        <w:t>the</w:t>
      </w:r>
      <w:proofErr w:type="spellEnd"/>
      <w:r w:rsidRPr="00E40182">
        <w:t xml:space="preserve"> </w:t>
      </w:r>
      <w:proofErr w:type="spellStart"/>
      <w:r w:rsidRPr="00E40182">
        <w:t>incidences</w:t>
      </w:r>
      <w:proofErr w:type="spellEnd"/>
      <w:r w:rsidRPr="00E40182">
        <w:t xml:space="preserve"> </w:t>
      </w:r>
      <w:proofErr w:type="spellStart"/>
      <w:r w:rsidRPr="00E40182">
        <w:t>decreased</w:t>
      </w:r>
      <w:proofErr w:type="spellEnd"/>
      <w:r w:rsidRPr="00E40182">
        <w:t xml:space="preserve"> </w:t>
      </w:r>
      <w:proofErr w:type="spellStart"/>
      <w:r w:rsidRPr="00E40182">
        <w:t>and</w:t>
      </w:r>
      <w:proofErr w:type="spellEnd"/>
      <w:r w:rsidRPr="00E40182">
        <w:t xml:space="preserve"> </w:t>
      </w:r>
      <w:proofErr w:type="spellStart"/>
      <w:r w:rsidRPr="00E40182">
        <w:t>that</w:t>
      </w:r>
      <w:proofErr w:type="spellEnd"/>
      <w:r w:rsidRPr="00E40182">
        <w:t xml:space="preserve"> </w:t>
      </w:r>
      <w:proofErr w:type="spellStart"/>
      <w:r w:rsidRPr="00E40182">
        <w:t>the</w:t>
      </w:r>
      <w:proofErr w:type="spellEnd"/>
      <w:r w:rsidRPr="00E40182">
        <w:t xml:space="preserve"> </w:t>
      </w:r>
      <w:proofErr w:type="spellStart"/>
      <w:r w:rsidRPr="00E40182">
        <w:t>five</w:t>
      </w:r>
      <w:proofErr w:type="spellEnd"/>
      <w:r w:rsidRPr="00E40182">
        <w:t xml:space="preserve"> </w:t>
      </w:r>
      <w:proofErr w:type="spellStart"/>
      <w:r w:rsidRPr="00E40182">
        <w:t>dimensions</w:t>
      </w:r>
      <w:proofErr w:type="spellEnd"/>
      <w:r w:rsidRPr="00E40182">
        <w:t xml:space="preserve"> </w:t>
      </w:r>
      <w:proofErr w:type="spellStart"/>
      <w:r w:rsidRPr="00E40182">
        <w:t>of</w:t>
      </w:r>
      <w:proofErr w:type="spellEnd"/>
      <w:r w:rsidRPr="00E40182">
        <w:t xml:space="preserve"> </w:t>
      </w:r>
      <w:proofErr w:type="spellStart"/>
      <w:r w:rsidRPr="00E40182">
        <w:t>service</w:t>
      </w:r>
      <w:proofErr w:type="spellEnd"/>
      <w:r w:rsidRPr="00E40182">
        <w:t xml:space="preserve"> </w:t>
      </w:r>
      <w:proofErr w:type="spellStart"/>
      <w:r w:rsidRPr="00E40182">
        <w:t>quality</w:t>
      </w:r>
      <w:proofErr w:type="spellEnd"/>
      <w:r w:rsidRPr="00E40182">
        <w:t xml:space="preserve">, </w:t>
      </w:r>
      <w:proofErr w:type="spellStart"/>
      <w:r w:rsidRPr="00E40182">
        <w:t>proposed</w:t>
      </w:r>
      <w:proofErr w:type="spellEnd"/>
      <w:r w:rsidRPr="00E40182">
        <w:t xml:space="preserve"> in </w:t>
      </w:r>
      <w:proofErr w:type="spellStart"/>
      <w:r w:rsidRPr="00E40182">
        <w:t>the</w:t>
      </w:r>
      <w:proofErr w:type="spellEnd"/>
      <w:r w:rsidRPr="00E40182">
        <w:t xml:space="preserve"> SERVQUAL </w:t>
      </w:r>
      <w:proofErr w:type="spellStart"/>
      <w:r w:rsidRPr="00E40182">
        <w:t>were</w:t>
      </w:r>
      <w:proofErr w:type="spellEnd"/>
      <w:r w:rsidRPr="00E40182">
        <w:t xml:space="preserve"> hit: </w:t>
      </w:r>
      <w:proofErr w:type="spellStart"/>
      <w:r w:rsidRPr="00E40182">
        <w:t>tangibility</w:t>
      </w:r>
      <w:proofErr w:type="spellEnd"/>
      <w:r w:rsidRPr="00E40182">
        <w:t xml:space="preserve">, </w:t>
      </w:r>
      <w:proofErr w:type="spellStart"/>
      <w:r w:rsidRPr="00E40182">
        <w:t>reliability</w:t>
      </w:r>
      <w:proofErr w:type="spellEnd"/>
      <w:r w:rsidRPr="00E40182">
        <w:t xml:space="preserve">, </w:t>
      </w:r>
      <w:proofErr w:type="spellStart"/>
      <w:r w:rsidRPr="00E40182">
        <w:t>responsiveness</w:t>
      </w:r>
      <w:proofErr w:type="spellEnd"/>
      <w:r w:rsidRPr="00E40182">
        <w:t xml:space="preserve">, </w:t>
      </w:r>
      <w:proofErr w:type="spellStart"/>
      <w:r w:rsidRPr="00E40182">
        <w:t>credibility</w:t>
      </w:r>
      <w:proofErr w:type="spellEnd"/>
      <w:r w:rsidRPr="00E40182">
        <w:t xml:space="preserve"> </w:t>
      </w:r>
      <w:proofErr w:type="spellStart"/>
      <w:r w:rsidRPr="00E40182">
        <w:t>and</w:t>
      </w:r>
      <w:proofErr w:type="spellEnd"/>
      <w:r w:rsidRPr="00E40182">
        <w:t xml:space="preserve"> </w:t>
      </w:r>
      <w:proofErr w:type="spellStart"/>
      <w:r w:rsidRPr="00E40182">
        <w:t>empathy</w:t>
      </w:r>
      <w:proofErr w:type="spellEnd"/>
      <w:r w:rsidRPr="00E40182">
        <w:t xml:space="preserve">. </w:t>
      </w:r>
      <w:proofErr w:type="spellStart"/>
      <w:r w:rsidRPr="00E40182">
        <w:t>Giving</w:t>
      </w:r>
      <w:proofErr w:type="spellEnd"/>
      <w:r w:rsidRPr="00E40182">
        <w:t xml:space="preserve"> </w:t>
      </w:r>
      <w:proofErr w:type="spellStart"/>
      <w:r w:rsidRPr="00E40182">
        <w:t>thus</w:t>
      </w:r>
      <w:proofErr w:type="spellEnd"/>
      <w:r w:rsidRPr="00E40182">
        <w:t xml:space="preserve"> </w:t>
      </w:r>
      <w:proofErr w:type="spellStart"/>
      <w:r w:rsidRPr="00E40182">
        <w:t>validate</w:t>
      </w:r>
      <w:proofErr w:type="spellEnd"/>
      <w:r w:rsidRPr="00E40182">
        <w:t xml:space="preserve"> </w:t>
      </w:r>
      <w:proofErr w:type="spellStart"/>
      <w:r w:rsidRPr="00E40182">
        <w:t>the</w:t>
      </w:r>
      <w:proofErr w:type="spellEnd"/>
      <w:r w:rsidRPr="00E40182">
        <w:t xml:space="preserve"> </w:t>
      </w:r>
      <w:proofErr w:type="spellStart"/>
      <w:r w:rsidRPr="00E40182">
        <w:t>proposition</w:t>
      </w:r>
      <w:proofErr w:type="spellEnd"/>
      <w:r w:rsidRPr="00E40182">
        <w:t xml:space="preserve"> </w:t>
      </w:r>
      <w:proofErr w:type="spellStart"/>
      <w:r w:rsidRPr="00E40182">
        <w:t>presented</w:t>
      </w:r>
      <w:proofErr w:type="spellEnd"/>
      <w:r w:rsidRPr="00E40182">
        <w:t xml:space="preserve"> </w:t>
      </w:r>
      <w:proofErr w:type="spellStart"/>
      <w:r w:rsidRPr="00E40182">
        <w:t>and</w:t>
      </w:r>
      <w:proofErr w:type="spellEnd"/>
      <w:r w:rsidRPr="00E40182">
        <w:t xml:space="preserve"> </w:t>
      </w:r>
      <w:proofErr w:type="spellStart"/>
      <w:r w:rsidRPr="00E40182">
        <w:t>confirming</w:t>
      </w:r>
      <w:proofErr w:type="spellEnd"/>
      <w:r w:rsidRPr="00E40182">
        <w:t xml:space="preserve"> </w:t>
      </w:r>
      <w:proofErr w:type="spellStart"/>
      <w:r w:rsidRPr="00E40182">
        <w:t>that</w:t>
      </w:r>
      <w:proofErr w:type="spellEnd"/>
      <w:r w:rsidRPr="00E40182">
        <w:t xml:space="preserve"> </w:t>
      </w:r>
      <w:proofErr w:type="spellStart"/>
      <w:r w:rsidRPr="00E40182">
        <w:t>the</w:t>
      </w:r>
      <w:proofErr w:type="spellEnd"/>
      <w:r w:rsidRPr="00E40182">
        <w:t xml:space="preserve"> </w:t>
      </w:r>
      <w:proofErr w:type="spellStart"/>
      <w:r w:rsidRPr="00E40182">
        <w:t>change</w:t>
      </w:r>
      <w:proofErr w:type="spellEnd"/>
      <w:r w:rsidRPr="00E40182">
        <w:t xml:space="preserve"> management helps in </w:t>
      </w:r>
      <w:proofErr w:type="spellStart"/>
      <w:r w:rsidRPr="00E40182">
        <w:t>improving</w:t>
      </w:r>
      <w:proofErr w:type="spellEnd"/>
      <w:r w:rsidRPr="00E40182">
        <w:t xml:space="preserve"> </w:t>
      </w:r>
      <w:proofErr w:type="spellStart"/>
      <w:r w:rsidRPr="00E40182">
        <w:t>the</w:t>
      </w:r>
      <w:proofErr w:type="spellEnd"/>
      <w:r w:rsidRPr="00E40182">
        <w:t xml:space="preserve"> </w:t>
      </w:r>
      <w:proofErr w:type="spellStart"/>
      <w:r w:rsidRPr="00E40182">
        <w:t>quality</w:t>
      </w:r>
      <w:proofErr w:type="spellEnd"/>
      <w:r w:rsidRPr="00E40182">
        <w:t xml:space="preserve"> </w:t>
      </w:r>
      <w:proofErr w:type="spellStart"/>
      <w:r w:rsidRPr="00E40182">
        <w:t>of</w:t>
      </w:r>
      <w:proofErr w:type="spellEnd"/>
      <w:r w:rsidRPr="00E40182">
        <w:t xml:space="preserve"> </w:t>
      </w:r>
      <w:proofErr w:type="spellStart"/>
      <w:r w:rsidRPr="00E40182">
        <w:t>services</w:t>
      </w:r>
      <w:proofErr w:type="spellEnd"/>
      <w:r w:rsidRPr="00E40182">
        <w:t>.</w:t>
      </w:r>
      <w:r w:rsidRPr="00E40182">
        <w:rPr>
          <w:color w:val="999999"/>
        </w:rPr>
        <w:t xml:space="preserve"> </w:t>
      </w:r>
    </w:p>
    <w:p w14:paraId="5181D3B2" w14:textId="77777777" w:rsidR="00F977A3" w:rsidRPr="00423BDB" w:rsidRDefault="00F977A3" w:rsidP="00F977A3">
      <w:pPr>
        <w:jc w:val="both"/>
      </w:pPr>
      <w:proofErr w:type="spellStart"/>
      <w:r w:rsidRPr="00423BDB">
        <w:rPr>
          <w:b/>
        </w:rPr>
        <w:t>Keywords</w:t>
      </w:r>
      <w:proofErr w:type="spellEnd"/>
      <w:r w:rsidRPr="00423BDB">
        <w:t xml:space="preserve">: </w:t>
      </w:r>
      <w:proofErr w:type="spellStart"/>
      <w:r>
        <w:t>Change</w:t>
      </w:r>
      <w:proofErr w:type="spellEnd"/>
      <w:r>
        <w:t xml:space="preserve"> Management, SERVQUAL, </w:t>
      </w:r>
      <w:proofErr w:type="spellStart"/>
      <w:r>
        <w:t>Information</w:t>
      </w:r>
      <w:proofErr w:type="spellEnd"/>
      <w:r>
        <w:t xml:space="preserve"> Technology; Service </w:t>
      </w:r>
      <w:proofErr w:type="spellStart"/>
      <w:r>
        <w:t>quality</w:t>
      </w:r>
      <w:proofErr w:type="spellEnd"/>
    </w:p>
    <w:p w14:paraId="7CA32495" w14:textId="77777777" w:rsidR="00F977A3" w:rsidRPr="00423BDB" w:rsidRDefault="00F977A3" w:rsidP="00F977A3">
      <w:pPr>
        <w:jc w:val="both"/>
        <w:rPr>
          <w:color w:val="999999"/>
        </w:rPr>
      </w:pPr>
    </w:p>
    <w:p w14:paraId="19BF6EED" w14:textId="77777777" w:rsidR="00F977A3" w:rsidRPr="00423BDB" w:rsidRDefault="00F977A3" w:rsidP="00F977A3">
      <w:pPr>
        <w:jc w:val="both"/>
        <w:rPr>
          <w:bCs/>
        </w:rPr>
      </w:pPr>
    </w:p>
    <w:p w14:paraId="600F4B3E" w14:textId="77777777" w:rsidR="00F977A3" w:rsidRPr="00423BDB" w:rsidRDefault="00F977A3" w:rsidP="00F977A3">
      <w:pPr>
        <w:jc w:val="both"/>
        <w:rPr>
          <w:bCs/>
        </w:rPr>
      </w:pPr>
    </w:p>
    <w:p w14:paraId="45C67EDC" w14:textId="77777777" w:rsidR="00F977A3" w:rsidRPr="00423BDB" w:rsidRDefault="00F977A3" w:rsidP="00F977A3">
      <w:pPr>
        <w:pStyle w:val="NormalWeb"/>
        <w:spacing w:before="0" w:beforeAutospacing="0" w:after="0" w:afterAutospacing="0"/>
        <w:ind w:left="720"/>
        <w:jc w:val="both"/>
        <w:rPr>
          <w:rFonts w:ascii="Times New Roman" w:hAnsi="Times New Roman"/>
          <w:color w:val="auto"/>
          <w:sz w:val="24"/>
          <w:szCs w:val="24"/>
        </w:rPr>
      </w:pPr>
    </w:p>
    <w:p w14:paraId="6AFDA8FE" w14:textId="77777777" w:rsidR="00F977A3" w:rsidRPr="00423BDB" w:rsidRDefault="00F977A3" w:rsidP="00F977A3">
      <w:pPr>
        <w:pStyle w:val="NormalWeb"/>
        <w:spacing w:before="0" w:beforeAutospacing="0" w:after="0" w:afterAutospacing="0"/>
        <w:ind w:left="720"/>
        <w:jc w:val="both"/>
        <w:rPr>
          <w:rFonts w:ascii="Times New Roman" w:hAnsi="Times New Roman"/>
          <w:color w:val="auto"/>
          <w:sz w:val="24"/>
          <w:szCs w:val="24"/>
        </w:rPr>
      </w:pPr>
    </w:p>
    <w:p w14:paraId="204907C5" w14:textId="77777777" w:rsidR="00F977A3" w:rsidRDefault="00F977A3" w:rsidP="00F977A3">
      <w:pPr>
        <w:jc w:val="both"/>
      </w:pPr>
      <w:r w:rsidRPr="00423BDB">
        <w:br w:type="page"/>
      </w:r>
    </w:p>
    <w:p w14:paraId="2CBBCED5" w14:textId="77777777" w:rsidR="00F977A3" w:rsidRDefault="00F977A3" w:rsidP="00F977A3">
      <w:pPr>
        <w:jc w:val="both"/>
        <w:rPr>
          <w:b/>
        </w:rPr>
      </w:pPr>
      <w:r w:rsidRPr="00423BDB">
        <w:rPr>
          <w:b/>
        </w:rPr>
        <w:lastRenderedPageBreak/>
        <w:t>1 Introdução</w:t>
      </w:r>
      <w:r>
        <w:rPr>
          <w:b/>
        </w:rPr>
        <w:t xml:space="preserve"> </w:t>
      </w:r>
    </w:p>
    <w:p w14:paraId="3BFA990C" w14:textId="77777777" w:rsidR="00F977A3" w:rsidRPr="00423BDB" w:rsidRDefault="00F977A3" w:rsidP="00F977A3">
      <w:pPr>
        <w:jc w:val="both"/>
        <w:rPr>
          <w:b/>
        </w:rPr>
      </w:pPr>
    </w:p>
    <w:p w14:paraId="17CE28C5" w14:textId="77777777" w:rsidR="00F977A3" w:rsidRPr="00846DD9" w:rsidRDefault="00F977A3" w:rsidP="00F977A3">
      <w:pPr>
        <w:ind w:firstLine="360"/>
        <w:jc w:val="both"/>
      </w:pPr>
      <w:r w:rsidRPr="00846DD9">
        <w:t xml:space="preserve">Os serviços de TI são fundamentais nas empresas que desejam estar aliadas com as melhores práticas do mercado. Neste sentido a governança de TI torna-se peça fundamental para o sucesso de estratégias adotadas pelas empresas que dependam e necessitem de TI. </w:t>
      </w:r>
      <w:r>
        <w:t xml:space="preserve"> </w:t>
      </w:r>
      <w:r w:rsidRPr="00846DD9">
        <w:t xml:space="preserve">A TI pode tornar-se uma grande aliada no desenvolvimento da empresa quando bem manipulada, direcionada e executada. Com o alto dinamismo do mercado e constantes exigências as empresas enfrentam mudanças contínuas em seus parques tecnológicos e gerir esta mudança é uma etapa fundamental no processo de governança de TI, que por sua vez assegurará a qualidade dos serviços de TI. Para que haja esta sincronia de eventos é necessário a implantação de um </w:t>
      </w:r>
      <w:r w:rsidRPr="00EB6A9E">
        <w:rPr>
          <w:i/>
        </w:rPr>
        <w:t xml:space="preserve">framework </w:t>
      </w:r>
      <w:r w:rsidRPr="00846DD9">
        <w:t xml:space="preserve">que seja capaz de corroborar e auxiliar os serviços de TI para que estes tenham uma qualidade elevada </w:t>
      </w:r>
      <w:r w:rsidRPr="00846DD9">
        <w:fldChar w:fldCharType="begin"/>
      </w:r>
      <w:r w:rsidRPr="00846DD9">
        <w:instrText xml:space="preserve"> ADDIN ZOTERO_ITEM CSL_CITATION {"citationID":"2pradotj2p","properties":{"formattedCitation":"{\\rtf (Sall\\uc0\\u233{}, 2004)}","plainCitation":"(Sallé, 2004)"},"citationItems":[{"id":784,"uris":["http://zotero.org/users/local/8hOLXDTg/items/BDCETBZF"],"uri":["http://zotero.org/users/local/8hOLXDTg/items/BDCETBZF"],"itemData":{"id":784,"type":"article-journal","title":"IT Service Management and IT Governance: review, comparative analysis and their impact on utility computing","container-title":"Hewlett-Packard Company","page":"8–17","source":"Google Scholar","shortTitle":"IT Service Management and IT Governance","author":[{"family":"Sallé","given":"Mathias"}],"issued":{"date-parts":[["2004"]]},"accessed":{"date-parts":[["2015",6,13]]}}}],"schema":"https://github.com/citation-style-language/schema/raw/master/csl-citation.json"} </w:instrText>
      </w:r>
      <w:r w:rsidRPr="00846DD9">
        <w:fldChar w:fldCharType="separate"/>
      </w:r>
      <w:r w:rsidRPr="00846DD9">
        <w:t>(Sallé, 2004)</w:t>
      </w:r>
      <w:r w:rsidRPr="00846DD9">
        <w:fldChar w:fldCharType="end"/>
      </w:r>
      <w:r w:rsidRPr="00846DD9">
        <w:t>.</w:t>
      </w:r>
    </w:p>
    <w:p w14:paraId="5AFEC503" w14:textId="77777777" w:rsidR="00F977A3" w:rsidRPr="00846DD9" w:rsidRDefault="00F977A3" w:rsidP="00F977A3">
      <w:pPr>
        <w:ind w:firstLine="360"/>
        <w:jc w:val="both"/>
      </w:pPr>
      <w:r w:rsidRPr="00846DD9">
        <w:t xml:space="preserve">Nesse sentido o presente Relato Técnico tem como questão de pesquisa: como a gestão de mudanças pode corroborar na melhoria da qualidade dos serviços TI? Por meio de uma pesquisa qualitativa, método da pesquisa-ação, estima-se analisar a implantação de um </w:t>
      </w:r>
      <w:r w:rsidRPr="00EB6A9E">
        <w:rPr>
          <w:i/>
        </w:rPr>
        <w:t>framework</w:t>
      </w:r>
      <w:r w:rsidRPr="00846DD9">
        <w:t xml:space="preserve"> baseado nas boas práticas da ITIL e validar sua convergência no processo de melhoria da qualidade dos serviços de TI.</w:t>
      </w:r>
    </w:p>
    <w:p w14:paraId="7AD8EDCF" w14:textId="77777777" w:rsidR="00F977A3" w:rsidRDefault="00F977A3" w:rsidP="00F977A3">
      <w:pPr>
        <w:ind w:firstLine="360"/>
        <w:jc w:val="both"/>
      </w:pPr>
      <w:r w:rsidRPr="00846DD9">
        <w:t xml:space="preserve">O trabalho contribuirá na prática para outras corporações que possuam uma estrutura comparável à empresa objeto de estudo deste Relato, viabilizando que as mesmas se adequem e melhorem a qualidade dos seus serviços. Além de contribuir com outras empresas, acredita-se que o Relato contribui academicamente com a validação do </w:t>
      </w:r>
      <w:r w:rsidRPr="00EB6A9E">
        <w:rPr>
          <w:i/>
        </w:rPr>
        <w:t>framework</w:t>
      </w:r>
      <w:r w:rsidRPr="00846DD9">
        <w:t xml:space="preserve"> ITIL e definições dos conceitos previamente listados de qualidade em serviços.</w:t>
      </w:r>
    </w:p>
    <w:p w14:paraId="6F2829B7" w14:textId="77777777" w:rsidR="00F977A3" w:rsidRPr="00846DD9" w:rsidRDefault="00F977A3" w:rsidP="00F977A3">
      <w:pPr>
        <w:ind w:firstLine="360"/>
        <w:jc w:val="both"/>
      </w:pPr>
      <w:r w:rsidRPr="00846DD9">
        <w:t>Neste Relato Técnico será analisada a implantação de um processo de gerenciamento de mudanças como forma da melhoria da qualidade dos serviços de TI providos pela empresa Alpha. A próxima seção fornecerá uma sinopse extensiva da literatura tradicional sobre gerenciamento de mudanças e qualidade de serviços. A terceira seção descreve o método utilizado e os procedimentos. A quarta seção descreve a intervenção realizada, bem como os mecanismos adotados. A quinta seção aponta os resultados obtidos com a intervenção. A seção final as implicações gerenciais e acadêmicas.</w:t>
      </w:r>
    </w:p>
    <w:p w14:paraId="72D533B5" w14:textId="77777777" w:rsidR="00F977A3" w:rsidRPr="00846DD9" w:rsidRDefault="00F977A3" w:rsidP="00F977A3">
      <w:pPr>
        <w:ind w:firstLine="360"/>
        <w:jc w:val="both"/>
      </w:pPr>
    </w:p>
    <w:p w14:paraId="782DAC0C" w14:textId="77777777" w:rsidR="00F977A3" w:rsidRPr="00846DD9" w:rsidRDefault="00F977A3" w:rsidP="00F977A3">
      <w:pPr>
        <w:pStyle w:val="ListParagraph"/>
        <w:numPr>
          <w:ilvl w:val="0"/>
          <w:numId w:val="1"/>
        </w:numPr>
        <w:contextualSpacing/>
        <w:jc w:val="both"/>
        <w:rPr>
          <w:b/>
        </w:rPr>
      </w:pPr>
      <w:r w:rsidRPr="00846DD9">
        <w:rPr>
          <w:b/>
        </w:rPr>
        <w:t>REFERENCIAL TEÓRICO</w:t>
      </w:r>
    </w:p>
    <w:p w14:paraId="0B2E4DF6" w14:textId="77777777" w:rsidR="00F977A3" w:rsidRPr="00846DD9" w:rsidRDefault="00F977A3" w:rsidP="00F977A3">
      <w:pPr>
        <w:pStyle w:val="ListParagraph"/>
        <w:ind w:left="360"/>
        <w:jc w:val="both"/>
        <w:rPr>
          <w:b/>
        </w:rPr>
      </w:pPr>
    </w:p>
    <w:p w14:paraId="0A7184C0" w14:textId="77777777" w:rsidR="00F977A3" w:rsidRPr="00846DD9" w:rsidRDefault="00F977A3" w:rsidP="00F977A3">
      <w:pPr>
        <w:pStyle w:val="ListParagraph"/>
        <w:numPr>
          <w:ilvl w:val="1"/>
          <w:numId w:val="1"/>
        </w:numPr>
        <w:contextualSpacing/>
        <w:jc w:val="both"/>
        <w:rPr>
          <w:b/>
        </w:rPr>
      </w:pPr>
      <w:r w:rsidRPr="00846DD9">
        <w:rPr>
          <w:b/>
        </w:rPr>
        <w:t xml:space="preserve">Qualidade em serviços </w:t>
      </w:r>
    </w:p>
    <w:p w14:paraId="3FFE7DEF" w14:textId="77777777" w:rsidR="00F977A3" w:rsidRPr="00846DD9" w:rsidRDefault="00F977A3" w:rsidP="00F977A3">
      <w:pPr>
        <w:jc w:val="both"/>
      </w:pPr>
    </w:p>
    <w:p w14:paraId="21321EE8" w14:textId="77777777" w:rsidR="00F977A3" w:rsidRPr="00846DD9" w:rsidRDefault="00F977A3" w:rsidP="00F977A3">
      <w:pPr>
        <w:ind w:firstLine="426"/>
        <w:jc w:val="both"/>
      </w:pPr>
      <w:r w:rsidRPr="00846DD9">
        <w:t>A qualidade em serviços vem sendo estudada com maior profundidade nos últimos 30 anos. Trata-se de um conceito de difícil avaliação quando comparada a qualidade de bens, conforme constatam</w:t>
      </w:r>
      <w:r w:rsidRPr="00846DD9">
        <w:fldChar w:fldCharType="begin"/>
      </w:r>
      <w:r w:rsidRPr="00846DD9">
        <w:instrText xml:space="preserve"> ADDIN ZOTERO_ITEM CSL_CITATION {"citationID":"cusjqlc5o","properties":{"formattedCitation":"(Anantharanthan Parasuraman, Zeithaml, &amp; Berry, 1985)","plainCitation":"(Anantharanthan Parasuraman, Zeithaml, &amp; Berry, 1985)"},"citationItems":[{"id":769,"uris":["http://zotero.org/users/local/8hOLXDTg/items/MUG6HCNQ"],"uri":["http://zotero.org/users/local/8hOLXDTg/items/MUG6HCNQ"],"itemData":{"id":769,"type":"article-journal","title":"A conceptual model of service quality and its implications for future research","container-title":"the Journal of Marketing","page":"41–50","source":"Google Scholar","author":[{"family":"Parasuraman","given":"Anantharanthan"},{"family":"Zeithaml","given":"Valarie A."},{"family":"Berry","given":"Leonard L."}],"issued":{"date-parts":[["1985"]]},"accessed":{"date-parts":[["2015",6,7]]}}}],"schema":"https://github.com/citation-style-language/schema/raw/master/csl-citation.json"} </w:instrText>
      </w:r>
      <w:r w:rsidRPr="00846DD9">
        <w:fldChar w:fldCharType="separate"/>
      </w:r>
      <w:r w:rsidRPr="00846DD9">
        <w:rPr>
          <w:noProof/>
        </w:rPr>
        <w:t>(Anantharanthan Parasuraman, Zeithaml, &amp; Berry, 1985)</w:t>
      </w:r>
      <w:r w:rsidRPr="00846DD9">
        <w:fldChar w:fldCharType="end"/>
      </w:r>
      <w:r w:rsidRPr="00846DD9">
        <w:t xml:space="preserve">. </w:t>
      </w:r>
      <w:r w:rsidRPr="00846DD9">
        <w:fldChar w:fldCharType="begin"/>
      </w:r>
      <w:r w:rsidRPr="00846DD9">
        <w:instrText xml:space="preserve"> ADDIN ZOTERO_ITEM CSL_CITATION {"citationID":"1cm5v30vt5","properties":{"formattedCitation":"(Cronin Jr &amp; Taylor, 1992)","plainCitation":"(Cronin Jr &amp; Taylor, 1992)"},"citationItems":[{"id":767,"uris":["http://zotero.org/users/local/8hOLXDTg/items/RSKWJXZM"],"uri":["http://zotero.org/users/local/8hOLXDTg/items/RSKWJXZM"],"itemData":{"id":767,"type":"article-journal","title":"Measuring service quality: a reexamination and extension","container-title":"The journal of marketing","page":"55–68","source":"Google Scholar","shortTitle":"Measuring service quality","author":[{"family":"Cronin Jr","given":"J. Joseph"},{"family":"Taylor","given":"Steven A."}],"issued":{"date-parts":[["1992"]]},"accessed":{"date-parts":[["2015",5,29]]}}}],"schema":"https://github.com/citation-style-language/schema/raw/master/csl-citation.json"} </w:instrText>
      </w:r>
      <w:r w:rsidRPr="00846DD9">
        <w:fldChar w:fldCharType="separate"/>
      </w:r>
      <w:r w:rsidRPr="00846DD9">
        <w:rPr>
          <w:noProof/>
        </w:rPr>
        <w:t>(Cronin Jr &amp; Taylor, 1992)</w:t>
      </w:r>
      <w:r w:rsidRPr="00846DD9">
        <w:fldChar w:fldCharType="end"/>
      </w:r>
      <w:r w:rsidRPr="00846DD9">
        <w:t xml:space="preserve"> definem a qualidade como antecedente da satisfação e acreditam que a qualidade poderia ser diferente em diferentes mercados e indústrias, não sendo possível generalizá-la para todos os setores da indústria.</w:t>
      </w:r>
    </w:p>
    <w:p w14:paraId="1AD85F09" w14:textId="77777777" w:rsidR="00F977A3" w:rsidRDefault="00F977A3" w:rsidP="00F977A3">
      <w:pPr>
        <w:ind w:firstLine="426"/>
        <w:jc w:val="both"/>
      </w:pPr>
      <w:r w:rsidRPr="00846DD9">
        <w:t xml:space="preserve">Para </w:t>
      </w:r>
      <w:r w:rsidRPr="00846DD9">
        <w:fldChar w:fldCharType="begin"/>
      </w:r>
      <w:r w:rsidRPr="00846DD9">
        <w:instrText xml:space="preserve"> ADDIN ZOTERO_ITEM CSL_CITATION {"citationID":"27ft9jodfs","properties":{"formattedCitation":"(Anantharanthan Parasuraman et al., 1985)","plainCitation":"(Anantharanthan Parasuraman et al., 1985)"},"citationItems":[{"id":769,"uris":["http://zotero.org/users/local/8hOLXDTg/items/MUG6HCNQ"],"uri":["http://zotero.org/users/local/8hOLXDTg/items/MUG6HCNQ"],"itemData":{"id":769,"type":"article-journal","title":"A conceptual model of service quality and its implications for future research","container-title":"the Journal of Marketing","page":"41–50","source":"Google Scholar","author":[{"family":"Parasuraman","given":"Anantharanthan"},{"family":"Zeithaml","given":"Valarie A."},{"family":"Berry","given":"Leonard L."}],"issued":{"date-parts":[["1985"]]},"accessed":{"date-parts":[["2015",6,7]]}}}],"schema":"https://github.com/citation-style-language/schema/raw/master/csl-citation.json"} </w:instrText>
      </w:r>
      <w:r w:rsidRPr="00846DD9">
        <w:fldChar w:fldCharType="separate"/>
      </w:r>
      <w:r w:rsidRPr="00846DD9">
        <w:rPr>
          <w:noProof/>
        </w:rPr>
        <w:t>(Anantharanthan Parasuraman et al., 1985)</w:t>
      </w:r>
      <w:r w:rsidRPr="00846DD9">
        <w:fldChar w:fldCharType="end"/>
      </w:r>
      <w:r w:rsidRPr="00846DD9">
        <w:t xml:space="preserve"> a qualidade em serviços é acessada e percebida pelos consumidores por meio de 10 dimensões. Três anos depois </w:t>
      </w:r>
      <w:r w:rsidRPr="00846DD9">
        <w:fldChar w:fldCharType="begin"/>
      </w:r>
      <w:r w:rsidRPr="00846DD9">
        <w:instrText xml:space="preserve"> ADDIN ZOTERO_ITEM CSL_CITATION {"citationID":"54lvv0fnu","properties":{"formattedCitation":"(Arun Parasuraman, Zeithaml, &amp; Berry, 1988)","plainCitation":"(Arun Parasuraman, Zeithaml, &amp; Berry, 1988)"},"citationItems":[{"id":774,"uris":["http://zotero.org/users/local/8hOLXDTg/items/M4JAD26T"],"uri":["http://zotero.org/users/local/8hOLXDTg/items/M4JAD26T"],"itemData":{"id":774,"type":"article-journal","title":"Servqual","container-title":"Journal of retailing","page":"12–40","volume":"64","issue":"1","source":"Google Scholar","author":[{"family":"Parasuraman","given":"Arun"},{"family":"Zeithaml","given":"Valarie A."},{"family":"Berry","given":"Leonard L."}],"issued":{"date-parts":[["1988"]]},"accessed":{"date-parts":[["2015",6,7]]}}}],"schema":"https://github.com/citation-style-language/schema/raw/master/csl-citation.json"} </w:instrText>
      </w:r>
      <w:r w:rsidRPr="00846DD9">
        <w:fldChar w:fldCharType="separate"/>
      </w:r>
      <w:r w:rsidRPr="00846DD9">
        <w:rPr>
          <w:noProof/>
        </w:rPr>
        <w:t>(Arun Parasuraman, Zeithaml, &amp; Berry, 1988)</w:t>
      </w:r>
      <w:r w:rsidRPr="00846DD9">
        <w:fldChar w:fldCharType="end"/>
      </w:r>
      <w:r w:rsidRPr="00846DD9">
        <w:t xml:space="preserve"> apontaram apenas cinco dimensões: I) tangíveis, relacionados as facilidades físicas, equipamentos e aparência do pessoal; II) confiabilidade, habilidade de realizar o serviço prometido; III) </w:t>
      </w:r>
      <w:proofErr w:type="spellStart"/>
      <w:r w:rsidRPr="00846DD9">
        <w:t>responsividade</w:t>
      </w:r>
      <w:proofErr w:type="spellEnd"/>
      <w:r w:rsidRPr="00846DD9">
        <w:t xml:space="preserve">, vontade de ajudar os clientes e prover serviços imediatos; IV) credibilidade, conhecimento, cortesia, habilidade da empresa expirar confiança ao consumidor; V) empatia, cuidado e atenção individualizada desprendida ao consumidor. A partir dai, eles desenvolveram a escala SERVQUAL para qualidade percebida de serviços. </w:t>
      </w:r>
    </w:p>
    <w:p w14:paraId="79C28AF2" w14:textId="77777777" w:rsidR="00F977A3" w:rsidRPr="00846DD9" w:rsidRDefault="00F977A3" w:rsidP="00F977A3">
      <w:pPr>
        <w:ind w:firstLine="720"/>
        <w:jc w:val="both"/>
      </w:pPr>
    </w:p>
    <w:p w14:paraId="37596C56" w14:textId="77777777" w:rsidR="00F977A3" w:rsidRDefault="00F977A3" w:rsidP="00F977A3">
      <w:pPr>
        <w:pStyle w:val="ListParagraph"/>
        <w:ind w:left="360"/>
        <w:contextualSpacing/>
        <w:jc w:val="both"/>
        <w:rPr>
          <w:b/>
        </w:rPr>
      </w:pPr>
    </w:p>
    <w:p w14:paraId="7C9DF3FC" w14:textId="77777777" w:rsidR="00F977A3" w:rsidRPr="00846DD9" w:rsidRDefault="00F977A3" w:rsidP="00F977A3">
      <w:pPr>
        <w:pStyle w:val="ListParagraph"/>
        <w:numPr>
          <w:ilvl w:val="1"/>
          <w:numId w:val="1"/>
        </w:numPr>
        <w:contextualSpacing/>
        <w:jc w:val="both"/>
        <w:rPr>
          <w:b/>
        </w:rPr>
      </w:pPr>
      <w:r w:rsidRPr="00846DD9">
        <w:rPr>
          <w:b/>
        </w:rPr>
        <w:t>Gestão da Qualidade de TI</w:t>
      </w:r>
    </w:p>
    <w:p w14:paraId="52A5F518" w14:textId="77777777" w:rsidR="00F977A3" w:rsidRPr="00846DD9" w:rsidRDefault="00F977A3" w:rsidP="00F977A3">
      <w:pPr>
        <w:jc w:val="both"/>
      </w:pPr>
    </w:p>
    <w:p w14:paraId="43B87EF2" w14:textId="77777777" w:rsidR="00F977A3" w:rsidRPr="00846DD9" w:rsidRDefault="00F977A3" w:rsidP="00F977A3">
      <w:pPr>
        <w:ind w:firstLine="426"/>
        <w:jc w:val="both"/>
      </w:pPr>
      <w:r w:rsidRPr="00846DD9">
        <w:t>Dada complexidade da gestão dos serviços, o governo britânico, nos anos 80, desenvolveu a ITIL (</w:t>
      </w:r>
      <w:proofErr w:type="spellStart"/>
      <w:r w:rsidRPr="00B26AB7">
        <w:rPr>
          <w:i/>
        </w:rPr>
        <w:t>Information</w:t>
      </w:r>
      <w:proofErr w:type="spellEnd"/>
      <w:r w:rsidRPr="00B26AB7">
        <w:rPr>
          <w:i/>
        </w:rPr>
        <w:t xml:space="preserve"> Technology </w:t>
      </w:r>
      <w:proofErr w:type="spellStart"/>
      <w:r w:rsidRPr="00B26AB7">
        <w:rPr>
          <w:i/>
        </w:rPr>
        <w:t>Infrastructure</w:t>
      </w:r>
      <w:proofErr w:type="spellEnd"/>
      <w:r w:rsidRPr="00B26AB7">
        <w:rPr>
          <w:i/>
        </w:rPr>
        <w:t xml:space="preserve"> Library</w:t>
      </w:r>
      <w:r w:rsidRPr="00846DD9">
        <w:t xml:space="preserve">), que sistematiza as melhores práticas no gerenciamento dos serviços de informação e comunicação tecnológica. O ITIL trata do ciclo de vida dos serviços, divididos em desenho do serviço, transição do serviço, operação do serviço, estratégia do serviço e melhoria contínua do serviço. Como este artigo visa entender como o processo de gestão de mudanças auxilia na melhora da qualidade dos serviços de TI, o foco será no estágio: Transição do Serviço. </w:t>
      </w:r>
    </w:p>
    <w:p w14:paraId="17EAF2F7" w14:textId="77777777" w:rsidR="00F977A3" w:rsidRPr="00846DD9" w:rsidRDefault="00F977A3" w:rsidP="00F977A3">
      <w:pPr>
        <w:ind w:firstLine="426"/>
        <w:jc w:val="both"/>
      </w:pPr>
      <w:r w:rsidRPr="00846DD9">
        <w:t xml:space="preserve">A Transição do Serviço contempla o teste ou a implementação de um serviço ou sua melhoria em um ambiente de TI. O processo de Transição de Serviço abrange: I) planejamento e suporte da transição; II) gerenciamento da mudança; III) gerenciamento da configuração; IV) gerenciamento da liberação e implantação; V) validação e teste do serviço; VI) avaliação da mudança; VII) gerenciamento do conhecimento. O propósito do processo de gerenciamento de mudança é controlar o ciclo de vida, possibilitando que as mudanças benéficas sejam realizadas sem interrupção dos serviços de TI, evitando incidentes e retrabalho, conforme constata </w:t>
      </w:r>
      <w:r w:rsidRPr="00846DD9">
        <w:fldChar w:fldCharType="begin"/>
      </w:r>
      <w:r w:rsidRPr="00846DD9">
        <w:instrText xml:space="preserve"> ADDIN ZOTERO_ITEM CSL_CITATION {"citationID":"p2jo2fm1n","properties":{"formattedCitation":"{\\rtf (Sall\\uc0\\u233{}, 2004)}","plainCitation":"(Sallé, 2004)"},"citationItems":[{"id":784,"uris":["http://zotero.org/users/local/8hOLXDTg/items/BDCETBZF"],"uri":["http://zotero.org/users/local/8hOLXDTg/items/BDCETBZF"],"itemData":{"id":784,"type":"article-journal","title":"IT Service Management and IT Governance: review, comparative analysis and their impact on utility computing","container-title":"Hewlett-Packard Company","page":"8–17","source":"Google Scholar","shortTitle":"IT Service Management and IT Governance","author":[{"family":"Sallé","given":"Mathias"}],"issued":{"date-parts":[["2004"]]},"accessed":{"date-parts":[["2015",6,13]]}}}],"schema":"https://github.com/citation-style-language/schema/raw/master/csl-citation.json"} </w:instrText>
      </w:r>
      <w:r w:rsidRPr="00846DD9">
        <w:fldChar w:fldCharType="separate"/>
      </w:r>
      <w:r w:rsidRPr="00846DD9">
        <w:t>(Sallé, 2004)</w:t>
      </w:r>
      <w:r w:rsidRPr="00846DD9">
        <w:fldChar w:fldCharType="end"/>
      </w:r>
      <w:r>
        <w:t>. Destarte influe</w:t>
      </w:r>
      <w:r w:rsidRPr="00846DD9">
        <w:t xml:space="preserve">ncia diretamente a qualidade percebida pelos usuários que </w:t>
      </w:r>
      <w:r w:rsidRPr="00846DD9">
        <w:fldChar w:fldCharType="begin"/>
      </w:r>
      <w:r w:rsidRPr="00846DD9">
        <w:instrText xml:space="preserve"> ADDIN ZOTERO_ITEM CSL_CITATION {"citationID":"14tng3t43q","properties":{"formattedCitation":"(Gronroos, 1988)","plainCitation":"(Gronroos, 1988)"},"citationItems":[{"id":789,"uris":["http://zotero.org/users/local/8hOLXDTg/items/V7WMIECJ"],"uri":["http://zotero.org/users/local/8hOLXDTg/items/V7WMIECJ"],"itemData":{"id":789,"type":"article-journal","title":"Service quality: the six criteria of good perceived service","container-title":"Review of business","page":"10","volume":"9","issue":"3","source":"Google Scholar","shortTitle":"Service quality","author":[{"family":"Gronroos","given":"Christian"}],"issued":{"date-parts":[["1988"]]},"accessed":{"date-parts":[["2015",6,13]]}}}],"schema":"https://github.com/citation-style-language/schema/raw/master/csl-citation.json"} </w:instrText>
      </w:r>
      <w:r w:rsidRPr="00846DD9">
        <w:fldChar w:fldCharType="separate"/>
      </w:r>
      <w:r w:rsidRPr="00846DD9">
        <w:rPr>
          <w:noProof/>
        </w:rPr>
        <w:t>(Gronroos, 1988)</w:t>
      </w:r>
      <w:r w:rsidRPr="00846DD9">
        <w:fldChar w:fldCharType="end"/>
      </w:r>
      <w:r w:rsidRPr="00846DD9">
        <w:t xml:space="preserve"> constata como sendo uma das seis dimensões da qualidade percebida: a acessibilidade.</w:t>
      </w:r>
    </w:p>
    <w:p w14:paraId="2B77BA89" w14:textId="77777777" w:rsidR="00F977A3" w:rsidRPr="00846DD9" w:rsidRDefault="00F977A3" w:rsidP="00F977A3">
      <w:pPr>
        <w:ind w:firstLine="426"/>
        <w:jc w:val="both"/>
      </w:pPr>
      <w:r w:rsidRPr="00846DD9">
        <w:t xml:space="preserve">Corroborando com a ideia da ITIL </w:t>
      </w:r>
      <w:r w:rsidRPr="00846DD9">
        <w:fldChar w:fldCharType="begin"/>
      </w:r>
      <w:r w:rsidRPr="00846DD9">
        <w:instrText xml:space="preserve"> ADDIN ZOTERO_ITEM CSL_CITATION {"citationID":"1p45a2vo2c","properties":{"formattedCitation":"(Roller, 2009)","plainCitation":"(Roller, 2009)"},"citationItems":[{"id":791,"uris":["http://zotero.org/users/local/8hOLXDTg/items/S5RTPI56"],"uri":["http://zotero.org/users/local/8hOLXDTg/items/S5RTPI56"],"itemData":{"id":791,"type":"article-journal","title":"The Service Management Office","container-title":"The Role of Integrated Governance and the ITIL V3","source":"Google Scholar","author":[{"family":"Roller","given":"Simon"}],"issued":{"date-parts":[["2009"]]}}}],"schema":"https://github.com/citation-style-language/schema/raw/master/csl-citation.json"} </w:instrText>
      </w:r>
      <w:r w:rsidRPr="00846DD9">
        <w:fldChar w:fldCharType="separate"/>
      </w:r>
      <w:r w:rsidRPr="00846DD9">
        <w:rPr>
          <w:noProof/>
        </w:rPr>
        <w:t>(Roller, 2009)</w:t>
      </w:r>
      <w:r w:rsidRPr="00846DD9">
        <w:fldChar w:fldCharType="end"/>
      </w:r>
      <w:r w:rsidRPr="00846DD9">
        <w:t xml:space="preserve"> aponta a importância da implementação de um f</w:t>
      </w:r>
      <w:r w:rsidRPr="00EB6A9E">
        <w:rPr>
          <w:i/>
        </w:rPr>
        <w:t>ramework</w:t>
      </w:r>
      <w:r w:rsidRPr="00846DD9">
        <w:t xml:space="preserve"> de gerenciamento de serviços de TI como forma de auxiliar o desempenho dos mesmos. Nesse sentido, (</w:t>
      </w:r>
      <w:proofErr w:type="spellStart"/>
      <w:r w:rsidRPr="00846DD9">
        <w:t>Iden</w:t>
      </w:r>
      <w:proofErr w:type="spellEnd"/>
      <w:r w:rsidRPr="00846DD9">
        <w:t xml:space="preserve"> &amp; </w:t>
      </w:r>
      <w:proofErr w:type="spellStart"/>
      <w:r w:rsidRPr="00846DD9">
        <w:t>Langeland</w:t>
      </w:r>
      <w:proofErr w:type="spellEnd"/>
      <w:r w:rsidRPr="00846DD9">
        <w:t xml:space="preserve"> 2010) constataram que a ITIL pode prover bons resultados para a empresa, o que lhe confere validade. </w:t>
      </w:r>
      <w:r w:rsidRPr="00846DD9">
        <w:fldChar w:fldCharType="begin"/>
      </w:r>
      <w:r w:rsidRPr="00846DD9">
        <w:instrText xml:space="preserve"> ADDIN ZOTERO_ITEM CSL_CITATION {"citationID":"2pradotj2p","properties":{"formattedCitation":"{\\rtf (Sall\\uc0\\u233{}, 2004)}","plainCitation":"(Sallé, 2004)"},"citationItems":[{"id":784,"uris":["http://zotero.org/users/local/8hOLXDTg/items/BDCETBZF"],"uri":["http://zotero.org/users/local/8hOLXDTg/items/BDCETBZF"],"itemData":{"id":784,"type":"article-journal","title":"IT Service Management and IT Governance: review, comparative analysis and their impact on utility computing","container-title":"Hewlett-Packard Company","page":"8–17","source":"Google Scholar","shortTitle":"IT Service Management and IT Governance","author":[{"family":"Sallé","given":"Mathias"}],"issued":{"date-parts":[["2004"]]},"accessed":{"date-parts":[["2015",6,13]]}}}],"schema":"https://github.com/citation-style-language/schema/raw/master/csl-citation.json"} </w:instrText>
      </w:r>
      <w:r w:rsidRPr="00846DD9">
        <w:fldChar w:fldCharType="separate"/>
      </w:r>
      <w:r w:rsidRPr="00846DD9">
        <w:t>(Sallé, 2004)</w:t>
      </w:r>
      <w:r w:rsidRPr="00846DD9">
        <w:fldChar w:fldCharType="end"/>
      </w:r>
      <w:r w:rsidRPr="00846DD9">
        <w:t xml:space="preserve"> complementa que os processos ITIL podem colaborar com a qualidade dos serviços de TI. Dada às evidências empíricas a ITIL foi escolhida como </w:t>
      </w:r>
      <w:r w:rsidRPr="00EB6A9E">
        <w:rPr>
          <w:i/>
        </w:rPr>
        <w:t xml:space="preserve">framework </w:t>
      </w:r>
      <w:r w:rsidRPr="00846DD9">
        <w:t>deste Relato Técnico.</w:t>
      </w:r>
    </w:p>
    <w:p w14:paraId="2B3BD437" w14:textId="77777777" w:rsidR="00F977A3" w:rsidRDefault="00F977A3" w:rsidP="00F977A3">
      <w:pPr>
        <w:ind w:firstLine="426"/>
        <w:jc w:val="both"/>
      </w:pPr>
      <w:r w:rsidRPr="00846DD9">
        <w:fldChar w:fldCharType="begin"/>
      </w:r>
      <w:r w:rsidRPr="00846DD9">
        <w:instrText xml:space="preserve"> ADDIN ZOTERO_ITEM CSL_CITATION {"citationID":"1s5bme3jhq","properties":{"formattedCitation":"(Sirkin, Keenan, &amp; Jackson, 2005)","plainCitation":"(Sirkin, Keenan, &amp; Jackson, 2005)"},"citationItems":[{"id":797,"uris":["http://zotero.org/users/local/8hOLXDTg/items/3JJPF2AR"],"uri":["http://zotero.org/users/local/8hOLXDTg/items/3JJPF2AR"],"itemData":{"id":797,"type":"article-journal","title":"The hard side of change management","container-title":"Harvard business review","page":"108","volume":"83","issue":"10","source":"Google Scholar","author":[{"family":"Sirkin","given":"Harold L."},{"family":"Keenan","given":"Perry"},{"family":"Jackson","given":"Alan"}],"issued":{"date-parts":[["2005"]]},"accessed":{"date-parts":[["2015",6,13]]}}}],"schema":"https://github.com/citation-style-language/schema/raw/master/csl-citation.json"} </w:instrText>
      </w:r>
      <w:r w:rsidRPr="00846DD9">
        <w:fldChar w:fldCharType="separate"/>
      </w:r>
      <w:r w:rsidRPr="00846DD9">
        <w:rPr>
          <w:noProof/>
        </w:rPr>
        <w:t>(Sirkin, Keenan, &amp; Jackson, 2005)</w:t>
      </w:r>
      <w:r w:rsidRPr="00846DD9">
        <w:fldChar w:fldCharType="end"/>
      </w:r>
      <w:r w:rsidRPr="00846DD9">
        <w:t xml:space="preserve"> enfatizam que as mudanças devam ser íntegras, ocorrer dentro do tempo previsto e apenas com os recursos necessários. Também constataram que a falta de ferramental de apoio à gestão de mudanças gera incertezas e faz com que os gestores não as aceitem. Neste sentido, a ITIL pode corroborar com a gestão de mudanças, garantindo que as mudanças ocorram dentro dos padrões levantados como necessários para uma boa gestão.</w:t>
      </w:r>
      <w:r>
        <w:t xml:space="preserve"> </w:t>
      </w:r>
    </w:p>
    <w:p w14:paraId="31490F88" w14:textId="77777777" w:rsidR="00F977A3" w:rsidRPr="00846DD9" w:rsidRDefault="00F977A3" w:rsidP="00F977A3">
      <w:pPr>
        <w:ind w:firstLine="426"/>
        <w:jc w:val="both"/>
      </w:pPr>
      <w:r>
        <w:t xml:space="preserve">Já </w:t>
      </w:r>
      <w:r w:rsidRPr="00846DD9">
        <w:fldChar w:fldCharType="begin"/>
      </w:r>
      <w:r w:rsidRPr="00846DD9">
        <w:instrText xml:space="preserve"> ADDIN ZOTERO_ITEM CSL_CITATION {"citationID":"1jcqbdn0qi","properties":{"formattedCitation":"(Benjamin &amp; Levinson, 1993)","plainCitation":"(Benjamin &amp; Levinson, 1993)"},"citationItems":[{"id":799,"uris":["http://zotero.org/users/local/8hOLXDTg/items/IJM7UZX2"],"uri":["http://zotero.org/users/local/8hOLXDTg/items/IJM7UZX2"],"itemData":{"id":799,"type":"article-journal","title":"A framework for managing IT-enabled change","container-title":"Sloan Management Review","page":"23–33","volume":"34","issue":"4","source":"Google Scholar","author":[{"family":"Benjamin","given":"Robert I."},{"family":"Levinson","given":"Eliot"}],"issued":{"date-parts":[["1993"]]},"accessed":{"date-parts":[["2015",6,13]]}}}],"schema":"https://github.com/citation-style-language/schema/raw/master/csl-citation.json"} </w:instrText>
      </w:r>
      <w:r w:rsidRPr="00846DD9">
        <w:fldChar w:fldCharType="separate"/>
      </w:r>
      <w:r w:rsidRPr="00846DD9">
        <w:rPr>
          <w:noProof/>
        </w:rPr>
        <w:t>(Benjamin &amp; Levinson, 1993)</w:t>
      </w:r>
      <w:r w:rsidRPr="00846DD9">
        <w:fldChar w:fldCharType="end"/>
      </w:r>
      <w:r w:rsidRPr="00846DD9">
        <w:t xml:space="preserve"> ponderam que a inclusão de novas tecnologias, por si só, não aumenta a produtividade, já que além da tecnologia são necessárias as mudanças organizacional e processual. Tão importante quanto o desenvolvimento de um processo de mudança é a capacitação dos envolvidos nela, qualquer seja a fase do processo de mudança. </w:t>
      </w:r>
      <w:r w:rsidRPr="00846DD9">
        <w:fldChar w:fldCharType="begin"/>
      </w:r>
      <w:r w:rsidRPr="00846DD9">
        <w:instrText xml:space="preserve"> ADDIN ZOTERO_ITEM CSL_CITATION {"citationID":"1s5bme3jhq","properties":{"formattedCitation":"(Sirkin, Keenan, &amp; Jackson, 2005)","plainCitation":"(Sirkin, Keenan, &amp; Jackson, 2005)"},"citationItems":[{"id":797,"uris":["http://zotero.org/users/local/8hOLXDTg/items/3JJPF2AR"],"uri":["http://zotero.org/users/local/8hOLXDTg/items/3JJPF2AR"],"itemData":{"id":797,"type":"article-journal","title":"The hard side of change management","container-title":"Harvard business review","page":"108","volume":"83","issue":"10","source":"Google Scholar","author":[{"family":"Sirkin","given":"Harold L."},{"family":"Keenan","given":"Perry"},{"family":"Jackson","given":"Alan"}],"issued":{"date-parts":[["2005"]]},"accessed":{"date-parts":[["2015",6,13]]}}}],"schema":"https://github.com/citation-style-language/schema/raw/master/csl-citation.json"} </w:instrText>
      </w:r>
      <w:r w:rsidRPr="00846DD9">
        <w:fldChar w:fldCharType="separate"/>
      </w:r>
      <w:r w:rsidRPr="00846DD9">
        <w:rPr>
          <w:noProof/>
        </w:rPr>
        <w:t>(Sirkin, Keenan, &amp; Jackson, 2005)</w:t>
      </w:r>
      <w:r w:rsidRPr="00846DD9">
        <w:fldChar w:fldCharType="end"/>
      </w:r>
      <w:r w:rsidRPr="00846DD9">
        <w:t xml:space="preserve"> acreditam que o envolvimento das pessoas no processo de mudanças pode auxiliar a realização de análises críticas e prover informações e apoios fundamentais para o sucesso de uma mudança.</w:t>
      </w:r>
    </w:p>
    <w:p w14:paraId="5AE5AE2B" w14:textId="77777777" w:rsidR="00F977A3" w:rsidRPr="00846DD9" w:rsidRDefault="00F977A3" w:rsidP="00F977A3">
      <w:pPr>
        <w:jc w:val="both"/>
      </w:pPr>
      <w:r w:rsidRPr="00846DD9">
        <w:tab/>
      </w:r>
    </w:p>
    <w:p w14:paraId="385798B0" w14:textId="77777777" w:rsidR="00F977A3" w:rsidRPr="00846DD9" w:rsidRDefault="00F977A3" w:rsidP="00F977A3">
      <w:pPr>
        <w:pStyle w:val="ListParagraph"/>
        <w:numPr>
          <w:ilvl w:val="0"/>
          <w:numId w:val="1"/>
        </w:numPr>
        <w:contextualSpacing/>
        <w:jc w:val="both"/>
        <w:rPr>
          <w:b/>
        </w:rPr>
      </w:pPr>
      <w:r w:rsidRPr="00846DD9">
        <w:rPr>
          <w:b/>
        </w:rPr>
        <w:t xml:space="preserve">MÉTODO DA PRODUÇÃO TÉCNICA </w:t>
      </w:r>
    </w:p>
    <w:p w14:paraId="13897573" w14:textId="77777777" w:rsidR="00F977A3" w:rsidRPr="00846DD9" w:rsidRDefault="00F977A3" w:rsidP="00F977A3">
      <w:pPr>
        <w:jc w:val="both"/>
        <w:rPr>
          <w:b/>
        </w:rPr>
      </w:pPr>
    </w:p>
    <w:p w14:paraId="1B6B8AA1" w14:textId="77777777" w:rsidR="00F977A3" w:rsidRPr="00846DD9" w:rsidRDefault="00F977A3" w:rsidP="00F977A3">
      <w:pPr>
        <w:ind w:firstLine="360"/>
        <w:jc w:val="both"/>
      </w:pPr>
      <w:r w:rsidRPr="00846DD9">
        <w:t xml:space="preserve">Conforme apresentado no referencial teórico, a inclusão de um processo de gestão de mudanças pode ser válida na melhoria da qualidade dos serviços de TI, neste sentido este relato utilizará como método a pesquisa-ação. A pesquisa ação foi escolhida como método de produção técnica, pois conforme constata </w:t>
      </w:r>
      <w:proofErr w:type="spellStart"/>
      <w:r w:rsidRPr="00846DD9">
        <w:t>Thiollent</w:t>
      </w:r>
      <w:proofErr w:type="spellEnd"/>
      <w:r w:rsidRPr="00846DD9">
        <w:t xml:space="preserve"> (2008) ela é capaz de transformar </w:t>
      </w:r>
      <w:proofErr w:type="spellStart"/>
      <w:r w:rsidRPr="00846DD9">
        <w:t>idéias</w:t>
      </w:r>
      <w:proofErr w:type="spellEnd"/>
      <w:r w:rsidRPr="00846DD9">
        <w:t xml:space="preserve"> em ações e os participantes auxiliam e aprendem  durante o processo. No caso deste estudo este método foi capaz de proporcionar o aprendizado e interação entre o pesquisador e os participantes de processo de maneira positiva.</w:t>
      </w:r>
    </w:p>
    <w:p w14:paraId="07B211C4" w14:textId="77777777" w:rsidR="00F977A3" w:rsidRDefault="00F977A3" w:rsidP="00F977A3">
      <w:pPr>
        <w:ind w:firstLine="360"/>
        <w:jc w:val="both"/>
      </w:pPr>
    </w:p>
    <w:p w14:paraId="5560466C" w14:textId="77777777" w:rsidR="00F977A3" w:rsidRDefault="00F977A3" w:rsidP="00F977A3">
      <w:pPr>
        <w:ind w:firstLine="360"/>
        <w:jc w:val="both"/>
      </w:pPr>
      <w:r w:rsidRPr="00846DD9">
        <w:t xml:space="preserve">Para </w:t>
      </w:r>
      <w:proofErr w:type="spellStart"/>
      <w:r w:rsidRPr="00846DD9">
        <w:t>Thiollent</w:t>
      </w:r>
      <w:proofErr w:type="spellEnd"/>
      <w:r w:rsidRPr="00846DD9">
        <w:t xml:space="preserve"> (1997) a pesquisa-ação é definida como uma investigação social com base empírica, que os investigadores e atores se envolvem e corroboram para identificação de problemas e experimentam soluções reais. Realiza-se o planejamento de ações e avaliações dos resultados. </w:t>
      </w:r>
      <w:proofErr w:type="spellStart"/>
      <w:r w:rsidRPr="00846DD9">
        <w:t>Thiollent</w:t>
      </w:r>
      <w:proofErr w:type="spellEnd"/>
      <w:r w:rsidRPr="00846DD9">
        <w:t xml:space="preserve"> (1997) ainda valida o uso da pesquisa-ação no âmbito empresarial e alega que trata-se de uma oportunidade dos pesquisadores terem acesso a informação e problemas que não teriam nos estudos tradicionais.</w:t>
      </w:r>
      <w:r>
        <w:t xml:space="preserve"> </w:t>
      </w:r>
    </w:p>
    <w:p w14:paraId="697A7C3E" w14:textId="77777777" w:rsidR="00F977A3" w:rsidRDefault="00F977A3" w:rsidP="00F977A3">
      <w:pPr>
        <w:ind w:firstLine="360"/>
        <w:jc w:val="both"/>
      </w:pPr>
      <w:r w:rsidRPr="00846DD9">
        <w:t xml:space="preserve">Este relato técnico contou com entrevistas </w:t>
      </w:r>
      <w:proofErr w:type="spellStart"/>
      <w:r w:rsidRPr="00846DD9">
        <w:t>semi-estruturadas</w:t>
      </w:r>
      <w:proofErr w:type="spellEnd"/>
      <w:r w:rsidRPr="00846DD9">
        <w:t>, conduções de grupos focais e análise documental. O quadro abaixo apresenta o perfil dos entrevistados.</w:t>
      </w:r>
    </w:p>
    <w:p w14:paraId="1AFD3CA7" w14:textId="77777777" w:rsidR="00F977A3" w:rsidRPr="00846DD9" w:rsidRDefault="00F977A3" w:rsidP="00F977A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68"/>
        <w:gridCol w:w="2693"/>
        <w:gridCol w:w="1887"/>
      </w:tblGrid>
      <w:tr w:rsidR="00F977A3" w:rsidRPr="00846DD9" w14:paraId="290FCBF7" w14:textId="77777777" w:rsidTr="00393113">
        <w:trPr>
          <w:trHeight w:val="344"/>
        </w:trPr>
        <w:tc>
          <w:tcPr>
            <w:tcW w:w="1668" w:type="dxa"/>
            <w:shd w:val="clear" w:color="auto" w:fill="auto"/>
          </w:tcPr>
          <w:p w14:paraId="000C9C40" w14:textId="77777777" w:rsidR="00F977A3" w:rsidRPr="00E40182" w:rsidRDefault="00F977A3" w:rsidP="00393113">
            <w:pPr>
              <w:jc w:val="both"/>
              <w:rPr>
                <w:b/>
                <w:sz w:val="20"/>
                <w:szCs w:val="20"/>
              </w:rPr>
            </w:pPr>
            <w:r w:rsidRPr="00E40182">
              <w:rPr>
                <w:b/>
                <w:sz w:val="20"/>
                <w:szCs w:val="20"/>
              </w:rPr>
              <w:t>Entrevistado</w:t>
            </w:r>
          </w:p>
        </w:tc>
        <w:tc>
          <w:tcPr>
            <w:tcW w:w="2268" w:type="dxa"/>
            <w:shd w:val="clear" w:color="auto" w:fill="auto"/>
          </w:tcPr>
          <w:p w14:paraId="7ED304F5" w14:textId="77777777" w:rsidR="00F977A3" w:rsidRPr="00E40182" w:rsidRDefault="00F977A3" w:rsidP="00393113">
            <w:pPr>
              <w:jc w:val="both"/>
              <w:rPr>
                <w:b/>
                <w:sz w:val="20"/>
                <w:szCs w:val="20"/>
              </w:rPr>
            </w:pPr>
            <w:r w:rsidRPr="00E40182">
              <w:rPr>
                <w:b/>
                <w:sz w:val="20"/>
                <w:szCs w:val="20"/>
              </w:rPr>
              <w:t>Formação</w:t>
            </w:r>
          </w:p>
        </w:tc>
        <w:tc>
          <w:tcPr>
            <w:tcW w:w="2693" w:type="dxa"/>
            <w:shd w:val="clear" w:color="auto" w:fill="auto"/>
          </w:tcPr>
          <w:p w14:paraId="007236AD" w14:textId="77777777" w:rsidR="00F977A3" w:rsidRPr="00E40182" w:rsidRDefault="00F977A3" w:rsidP="00393113">
            <w:pPr>
              <w:jc w:val="both"/>
              <w:rPr>
                <w:b/>
                <w:sz w:val="20"/>
                <w:szCs w:val="20"/>
              </w:rPr>
            </w:pPr>
            <w:r w:rsidRPr="00E40182">
              <w:rPr>
                <w:b/>
                <w:sz w:val="20"/>
                <w:szCs w:val="20"/>
              </w:rPr>
              <w:t>Cargo</w:t>
            </w:r>
          </w:p>
        </w:tc>
        <w:tc>
          <w:tcPr>
            <w:tcW w:w="1887" w:type="dxa"/>
            <w:shd w:val="clear" w:color="auto" w:fill="auto"/>
          </w:tcPr>
          <w:p w14:paraId="38A83BED" w14:textId="77777777" w:rsidR="00F977A3" w:rsidRPr="00E40182" w:rsidRDefault="00F977A3" w:rsidP="00393113">
            <w:pPr>
              <w:jc w:val="both"/>
              <w:rPr>
                <w:b/>
                <w:sz w:val="20"/>
                <w:szCs w:val="20"/>
              </w:rPr>
            </w:pPr>
            <w:r w:rsidRPr="00E40182">
              <w:rPr>
                <w:b/>
                <w:sz w:val="20"/>
                <w:szCs w:val="20"/>
              </w:rPr>
              <w:t>Tempo de Casa</w:t>
            </w:r>
          </w:p>
        </w:tc>
      </w:tr>
      <w:tr w:rsidR="00F977A3" w:rsidRPr="00846DD9" w14:paraId="7F8C40DC" w14:textId="77777777" w:rsidTr="00393113">
        <w:trPr>
          <w:trHeight w:val="63"/>
        </w:trPr>
        <w:tc>
          <w:tcPr>
            <w:tcW w:w="1668" w:type="dxa"/>
            <w:shd w:val="clear" w:color="auto" w:fill="auto"/>
          </w:tcPr>
          <w:p w14:paraId="5E109201" w14:textId="77777777" w:rsidR="00F977A3" w:rsidRPr="00E40182" w:rsidRDefault="00F977A3" w:rsidP="00393113">
            <w:pPr>
              <w:jc w:val="both"/>
              <w:rPr>
                <w:sz w:val="20"/>
                <w:szCs w:val="20"/>
              </w:rPr>
            </w:pPr>
            <w:r w:rsidRPr="00E40182">
              <w:rPr>
                <w:sz w:val="20"/>
                <w:szCs w:val="20"/>
              </w:rPr>
              <w:t xml:space="preserve">E1 </w:t>
            </w:r>
          </w:p>
        </w:tc>
        <w:tc>
          <w:tcPr>
            <w:tcW w:w="2268" w:type="dxa"/>
            <w:shd w:val="clear" w:color="auto" w:fill="auto"/>
          </w:tcPr>
          <w:p w14:paraId="3CBE10F2" w14:textId="77777777" w:rsidR="00F977A3" w:rsidRPr="00E40182" w:rsidRDefault="00F977A3" w:rsidP="00393113">
            <w:pPr>
              <w:jc w:val="both"/>
              <w:rPr>
                <w:sz w:val="20"/>
                <w:szCs w:val="20"/>
              </w:rPr>
            </w:pPr>
            <w:r w:rsidRPr="00E40182">
              <w:rPr>
                <w:sz w:val="20"/>
                <w:szCs w:val="20"/>
              </w:rPr>
              <w:t>Superior Completo</w:t>
            </w:r>
          </w:p>
        </w:tc>
        <w:tc>
          <w:tcPr>
            <w:tcW w:w="2693" w:type="dxa"/>
            <w:shd w:val="clear" w:color="auto" w:fill="auto"/>
          </w:tcPr>
          <w:p w14:paraId="629CF2EC" w14:textId="77777777" w:rsidR="00F977A3" w:rsidRPr="00E40182" w:rsidRDefault="00F977A3" w:rsidP="00393113">
            <w:pPr>
              <w:jc w:val="both"/>
              <w:rPr>
                <w:sz w:val="20"/>
                <w:szCs w:val="20"/>
              </w:rPr>
            </w:pPr>
            <w:r w:rsidRPr="00E40182">
              <w:rPr>
                <w:sz w:val="20"/>
                <w:szCs w:val="20"/>
              </w:rPr>
              <w:t>Gerente de TI</w:t>
            </w:r>
          </w:p>
        </w:tc>
        <w:tc>
          <w:tcPr>
            <w:tcW w:w="1887" w:type="dxa"/>
            <w:shd w:val="clear" w:color="auto" w:fill="auto"/>
          </w:tcPr>
          <w:p w14:paraId="3A202DDD" w14:textId="77777777" w:rsidR="00F977A3" w:rsidRPr="00E40182" w:rsidRDefault="00F977A3" w:rsidP="00393113">
            <w:pPr>
              <w:jc w:val="both"/>
              <w:rPr>
                <w:sz w:val="20"/>
                <w:szCs w:val="20"/>
              </w:rPr>
            </w:pPr>
            <w:r w:rsidRPr="00E40182">
              <w:rPr>
                <w:sz w:val="20"/>
                <w:szCs w:val="20"/>
              </w:rPr>
              <w:t>8 anos</w:t>
            </w:r>
          </w:p>
        </w:tc>
      </w:tr>
      <w:tr w:rsidR="00F977A3" w:rsidRPr="00846DD9" w14:paraId="66342922" w14:textId="77777777" w:rsidTr="00393113">
        <w:trPr>
          <w:trHeight w:val="63"/>
        </w:trPr>
        <w:tc>
          <w:tcPr>
            <w:tcW w:w="1668" w:type="dxa"/>
            <w:shd w:val="clear" w:color="auto" w:fill="auto"/>
          </w:tcPr>
          <w:p w14:paraId="42A1465C" w14:textId="77777777" w:rsidR="00F977A3" w:rsidRPr="00E40182" w:rsidRDefault="00F977A3" w:rsidP="00393113">
            <w:pPr>
              <w:jc w:val="both"/>
              <w:rPr>
                <w:sz w:val="20"/>
                <w:szCs w:val="20"/>
              </w:rPr>
            </w:pPr>
            <w:r w:rsidRPr="00E40182">
              <w:rPr>
                <w:sz w:val="20"/>
                <w:szCs w:val="20"/>
              </w:rPr>
              <w:t>E2</w:t>
            </w:r>
          </w:p>
        </w:tc>
        <w:tc>
          <w:tcPr>
            <w:tcW w:w="2268" w:type="dxa"/>
            <w:shd w:val="clear" w:color="auto" w:fill="auto"/>
          </w:tcPr>
          <w:p w14:paraId="40151CCD" w14:textId="77777777" w:rsidR="00F977A3" w:rsidRPr="00E40182" w:rsidRDefault="00F977A3" w:rsidP="00393113">
            <w:pPr>
              <w:jc w:val="both"/>
              <w:rPr>
                <w:sz w:val="20"/>
                <w:szCs w:val="20"/>
              </w:rPr>
            </w:pPr>
            <w:r w:rsidRPr="00E40182">
              <w:rPr>
                <w:sz w:val="20"/>
                <w:szCs w:val="20"/>
              </w:rPr>
              <w:t>Superior Completo</w:t>
            </w:r>
          </w:p>
        </w:tc>
        <w:tc>
          <w:tcPr>
            <w:tcW w:w="2693" w:type="dxa"/>
            <w:shd w:val="clear" w:color="auto" w:fill="auto"/>
          </w:tcPr>
          <w:p w14:paraId="04FEB519" w14:textId="77777777" w:rsidR="00F977A3" w:rsidRPr="00E40182" w:rsidRDefault="00F977A3" w:rsidP="00393113">
            <w:pPr>
              <w:jc w:val="both"/>
              <w:rPr>
                <w:sz w:val="20"/>
                <w:szCs w:val="20"/>
              </w:rPr>
            </w:pPr>
            <w:r w:rsidRPr="00E40182">
              <w:rPr>
                <w:sz w:val="20"/>
                <w:szCs w:val="20"/>
              </w:rPr>
              <w:t>Supervisor de TI</w:t>
            </w:r>
          </w:p>
        </w:tc>
        <w:tc>
          <w:tcPr>
            <w:tcW w:w="1887" w:type="dxa"/>
            <w:shd w:val="clear" w:color="auto" w:fill="auto"/>
          </w:tcPr>
          <w:p w14:paraId="3A7644A4" w14:textId="77777777" w:rsidR="00F977A3" w:rsidRPr="00E40182" w:rsidRDefault="00F977A3" w:rsidP="00393113">
            <w:pPr>
              <w:jc w:val="both"/>
              <w:rPr>
                <w:sz w:val="20"/>
                <w:szCs w:val="20"/>
              </w:rPr>
            </w:pPr>
            <w:r w:rsidRPr="00E40182">
              <w:rPr>
                <w:sz w:val="20"/>
                <w:szCs w:val="20"/>
              </w:rPr>
              <w:t>13 anos</w:t>
            </w:r>
          </w:p>
        </w:tc>
      </w:tr>
      <w:tr w:rsidR="00F977A3" w:rsidRPr="00846DD9" w14:paraId="470B445F" w14:textId="77777777" w:rsidTr="00393113">
        <w:trPr>
          <w:trHeight w:val="63"/>
        </w:trPr>
        <w:tc>
          <w:tcPr>
            <w:tcW w:w="1668" w:type="dxa"/>
            <w:shd w:val="clear" w:color="auto" w:fill="auto"/>
          </w:tcPr>
          <w:p w14:paraId="7A1AEA38" w14:textId="77777777" w:rsidR="00F977A3" w:rsidRPr="00E40182" w:rsidRDefault="00F977A3" w:rsidP="00393113">
            <w:pPr>
              <w:jc w:val="both"/>
              <w:rPr>
                <w:sz w:val="20"/>
                <w:szCs w:val="20"/>
              </w:rPr>
            </w:pPr>
            <w:r w:rsidRPr="00E40182">
              <w:rPr>
                <w:sz w:val="20"/>
                <w:szCs w:val="20"/>
              </w:rPr>
              <w:t>E3</w:t>
            </w:r>
          </w:p>
        </w:tc>
        <w:tc>
          <w:tcPr>
            <w:tcW w:w="2268" w:type="dxa"/>
            <w:shd w:val="clear" w:color="auto" w:fill="auto"/>
          </w:tcPr>
          <w:p w14:paraId="7598639F" w14:textId="77777777" w:rsidR="00F977A3" w:rsidRPr="00E40182" w:rsidRDefault="00F977A3" w:rsidP="00393113">
            <w:pPr>
              <w:jc w:val="both"/>
              <w:rPr>
                <w:sz w:val="20"/>
                <w:szCs w:val="20"/>
              </w:rPr>
            </w:pPr>
            <w:r w:rsidRPr="00E40182">
              <w:rPr>
                <w:sz w:val="20"/>
                <w:szCs w:val="20"/>
              </w:rPr>
              <w:t>Superior Completo</w:t>
            </w:r>
          </w:p>
        </w:tc>
        <w:tc>
          <w:tcPr>
            <w:tcW w:w="2693" w:type="dxa"/>
            <w:shd w:val="clear" w:color="auto" w:fill="auto"/>
          </w:tcPr>
          <w:p w14:paraId="7232BF92" w14:textId="77777777" w:rsidR="00F977A3" w:rsidRPr="00E40182" w:rsidRDefault="00F977A3" w:rsidP="00393113">
            <w:pPr>
              <w:jc w:val="both"/>
              <w:rPr>
                <w:sz w:val="20"/>
                <w:szCs w:val="20"/>
              </w:rPr>
            </w:pPr>
            <w:r w:rsidRPr="00E40182">
              <w:rPr>
                <w:sz w:val="20"/>
                <w:szCs w:val="20"/>
              </w:rPr>
              <w:t>Analista de TI</w:t>
            </w:r>
          </w:p>
        </w:tc>
        <w:tc>
          <w:tcPr>
            <w:tcW w:w="1887" w:type="dxa"/>
            <w:shd w:val="clear" w:color="auto" w:fill="auto"/>
          </w:tcPr>
          <w:p w14:paraId="1FEC4B23" w14:textId="77777777" w:rsidR="00F977A3" w:rsidRPr="00E40182" w:rsidRDefault="00F977A3" w:rsidP="00393113">
            <w:pPr>
              <w:jc w:val="both"/>
              <w:rPr>
                <w:sz w:val="20"/>
                <w:szCs w:val="20"/>
              </w:rPr>
            </w:pPr>
            <w:r w:rsidRPr="00E40182">
              <w:rPr>
                <w:sz w:val="20"/>
                <w:szCs w:val="20"/>
              </w:rPr>
              <w:t>5 anos</w:t>
            </w:r>
          </w:p>
        </w:tc>
      </w:tr>
      <w:tr w:rsidR="00F977A3" w:rsidRPr="00846DD9" w14:paraId="2169636B" w14:textId="77777777" w:rsidTr="00393113">
        <w:trPr>
          <w:trHeight w:val="198"/>
        </w:trPr>
        <w:tc>
          <w:tcPr>
            <w:tcW w:w="1668" w:type="dxa"/>
            <w:shd w:val="clear" w:color="auto" w:fill="auto"/>
          </w:tcPr>
          <w:p w14:paraId="164AD55E" w14:textId="77777777" w:rsidR="00F977A3" w:rsidRPr="00E40182" w:rsidRDefault="00F977A3" w:rsidP="00393113">
            <w:pPr>
              <w:jc w:val="both"/>
              <w:rPr>
                <w:sz w:val="20"/>
                <w:szCs w:val="20"/>
              </w:rPr>
            </w:pPr>
            <w:r w:rsidRPr="00E40182">
              <w:rPr>
                <w:sz w:val="20"/>
                <w:szCs w:val="20"/>
              </w:rPr>
              <w:t>E4</w:t>
            </w:r>
          </w:p>
        </w:tc>
        <w:tc>
          <w:tcPr>
            <w:tcW w:w="2268" w:type="dxa"/>
            <w:shd w:val="clear" w:color="auto" w:fill="auto"/>
          </w:tcPr>
          <w:p w14:paraId="4FE83D5B" w14:textId="77777777" w:rsidR="00F977A3" w:rsidRPr="00E40182" w:rsidRDefault="00F977A3" w:rsidP="00393113">
            <w:pPr>
              <w:jc w:val="both"/>
              <w:rPr>
                <w:sz w:val="20"/>
                <w:szCs w:val="20"/>
              </w:rPr>
            </w:pPr>
            <w:r w:rsidRPr="00E40182">
              <w:rPr>
                <w:sz w:val="20"/>
                <w:szCs w:val="20"/>
              </w:rPr>
              <w:t>Superior Incompleto</w:t>
            </w:r>
          </w:p>
        </w:tc>
        <w:tc>
          <w:tcPr>
            <w:tcW w:w="2693" w:type="dxa"/>
            <w:shd w:val="clear" w:color="auto" w:fill="auto"/>
          </w:tcPr>
          <w:p w14:paraId="1B86AD78" w14:textId="77777777" w:rsidR="00F977A3" w:rsidRPr="00E40182" w:rsidRDefault="00F977A3" w:rsidP="00393113">
            <w:pPr>
              <w:jc w:val="both"/>
              <w:rPr>
                <w:sz w:val="20"/>
                <w:szCs w:val="20"/>
              </w:rPr>
            </w:pPr>
            <w:r w:rsidRPr="00E40182">
              <w:rPr>
                <w:sz w:val="20"/>
                <w:szCs w:val="20"/>
              </w:rPr>
              <w:t>Analista de TI</w:t>
            </w:r>
          </w:p>
        </w:tc>
        <w:tc>
          <w:tcPr>
            <w:tcW w:w="1887" w:type="dxa"/>
            <w:shd w:val="clear" w:color="auto" w:fill="auto"/>
          </w:tcPr>
          <w:p w14:paraId="18B98D2B" w14:textId="77777777" w:rsidR="00F977A3" w:rsidRPr="00E40182" w:rsidRDefault="00F977A3" w:rsidP="00393113">
            <w:pPr>
              <w:jc w:val="both"/>
              <w:rPr>
                <w:sz w:val="20"/>
                <w:szCs w:val="20"/>
              </w:rPr>
            </w:pPr>
            <w:r w:rsidRPr="00E40182">
              <w:rPr>
                <w:sz w:val="20"/>
                <w:szCs w:val="20"/>
              </w:rPr>
              <w:t>6 anos</w:t>
            </w:r>
          </w:p>
        </w:tc>
      </w:tr>
      <w:tr w:rsidR="00F977A3" w:rsidRPr="00846DD9" w14:paraId="0F5CFCA9" w14:textId="77777777" w:rsidTr="00393113">
        <w:trPr>
          <w:trHeight w:val="63"/>
        </w:trPr>
        <w:tc>
          <w:tcPr>
            <w:tcW w:w="1668" w:type="dxa"/>
            <w:shd w:val="clear" w:color="auto" w:fill="auto"/>
          </w:tcPr>
          <w:p w14:paraId="6317CD92" w14:textId="77777777" w:rsidR="00F977A3" w:rsidRPr="00E40182" w:rsidRDefault="00F977A3" w:rsidP="00393113">
            <w:pPr>
              <w:jc w:val="both"/>
              <w:rPr>
                <w:sz w:val="20"/>
                <w:szCs w:val="20"/>
              </w:rPr>
            </w:pPr>
            <w:r w:rsidRPr="00E40182">
              <w:rPr>
                <w:sz w:val="20"/>
                <w:szCs w:val="20"/>
              </w:rPr>
              <w:t>E5</w:t>
            </w:r>
          </w:p>
        </w:tc>
        <w:tc>
          <w:tcPr>
            <w:tcW w:w="2268" w:type="dxa"/>
            <w:shd w:val="clear" w:color="auto" w:fill="auto"/>
          </w:tcPr>
          <w:p w14:paraId="233641BE" w14:textId="77777777" w:rsidR="00F977A3" w:rsidRPr="00E40182" w:rsidRDefault="00F977A3" w:rsidP="00393113">
            <w:pPr>
              <w:jc w:val="both"/>
              <w:rPr>
                <w:sz w:val="20"/>
                <w:szCs w:val="20"/>
              </w:rPr>
            </w:pPr>
            <w:r w:rsidRPr="00E40182">
              <w:rPr>
                <w:sz w:val="20"/>
                <w:szCs w:val="20"/>
              </w:rPr>
              <w:t>Superior Completo</w:t>
            </w:r>
          </w:p>
        </w:tc>
        <w:tc>
          <w:tcPr>
            <w:tcW w:w="2693" w:type="dxa"/>
            <w:shd w:val="clear" w:color="auto" w:fill="auto"/>
          </w:tcPr>
          <w:p w14:paraId="7384D87B" w14:textId="77777777" w:rsidR="00F977A3" w:rsidRPr="00E40182" w:rsidRDefault="00F977A3" w:rsidP="00393113">
            <w:pPr>
              <w:jc w:val="both"/>
              <w:rPr>
                <w:sz w:val="20"/>
                <w:szCs w:val="20"/>
              </w:rPr>
            </w:pPr>
            <w:r w:rsidRPr="00E40182">
              <w:rPr>
                <w:sz w:val="20"/>
                <w:szCs w:val="20"/>
              </w:rPr>
              <w:t>Superintendente de TI</w:t>
            </w:r>
          </w:p>
        </w:tc>
        <w:tc>
          <w:tcPr>
            <w:tcW w:w="1887" w:type="dxa"/>
            <w:shd w:val="clear" w:color="auto" w:fill="auto"/>
          </w:tcPr>
          <w:p w14:paraId="4A71EB4E" w14:textId="77777777" w:rsidR="00F977A3" w:rsidRPr="00E40182" w:rsidRDefault="00F977A3" w:rsidP="00393113">
            <w:pPr>
              <w:jc w:val="both"/>
              <w:rPr>
                <w:sz w:val="20"/>
                <w:szCs w:val="20"/>
              </w:rPr>
            </w:pPr>
            <w:r w:rsidRPr="00E40182">
              <w:rPr>
                <w:sz w:val="20"/>
                <w:szCs w:val="20"/>
              </w:rPr>
              <w:t>5 anos</w:t>
            </w:r>
          </w:p>
        </w:tc>
      </w:tr>
      <w:tr w:rsidR="00F977A3" w:rsidRPr="00846DD9" w14:paraId="31553D3B" w14:textId="77777777" w:rsidTr="00393113">
        <w:trPr>
          <w:trHeight w:val="63"/>
        </w:trPr>
        <w:tc>
          <w:tcPr>
            <w:tcW w:w="1668" w:type="dxa"/>
            <w:shd w:val="clear" w:color="auto" w:fill="auto"/>
          </w:tcPr>
          <w:p w14:paraId="7D559364" w14:textId="77777777" w:rsidR="00F977A3" w:rsidRPr="00E40182" w:rsidRDefault="00F977A3" w:rsidP="00393113">
            <w:pPr>
              <w:jc w:val="both"/>
              <w:rPr>
                <w:sz w:val="20"/>
                <w:szCs w:val="20"/>
              </w:rPr>
            </w:pPr>
            <w:r w:rsidRPr="00E40182">
              <w:rPr>
                <w:sz w:val="20"/>
                <w:szCs w:val="20"/>
              </w:rPr>
              <w:t xml:space="preserve">E6 </w:t>
            </w:r>
          </w:p>
        </w:tc>
        <w:tc>
          <w:tcPr>
            <w:tcW w:w="2268" w:type="dxa"/>
            <w:shd w:val="clear" w:color="auto" w:fill="auto"/>
          </w:tcPr>
          <w:p w14:paraId="570465C7" w14:textId="77777777" w:rsidR="00F977A3" w:rsidRPr="00E40182" w:rsidRDefault="00F977A3" w:rsidP="00393113">
            <w:pPr>
              <w:jc w:val="both"/>
              <w:rPr>
                <w:sz w:val="20"/>
                <w:szCs w:val="20"/>
              </w:rPr>
            </w:pPr>
            <w:r w:rsidRPr="00E40182">
              <w:rPr>
                <w:sz w:val="20"/>
                <w:szCs w:val="20"/>
              </w:rPr>
              <w:t>Superior Completo</w:t>
            </w:r>
          </w:p>
        </w:tc>
        <w:tc>
          <w:tcPr>
            <w:tcW w:w="2693" w:type="dxa"/>
            <w:shd w:val="clear" w:color="auto" w:fill="auto"/>
          </w:tcPr>
          <w:p w14:paraId="5EC16646" w14:textId="77777777" w:rsidR="00F977A3" w:rsidRPr="00E40182" w:rsidRDefault="00F977A3" w:rsidP="00393113">
            <w:pPr>
              <w:jc w:val="both"/>
              <w:rPr>
                <w:sz w:val="20"/>
                <w:szCs w:val="20"/>
              </w:rPr>
            </w:pPr>
            <w:r w:rsidRPr="00E40182">
              <w:rPr>
                <w:sz w:val="20"/>
                <w:szCs w:val="20"/>
              </w:rPr>
              <w:t>Analista de TI</w:t>
            </w:r>
          </w:p>
        </w:tc>
        <w:tc>
          <w:tcPr>
            <w:tcW w:w="1887" w:type="dxa"/>
            <w:shd w:val="clear" w:color="auto" w:fill="auto"/>
          </w:tcPr>
          <w:p w14:paraId="3C7D633F" w14:textId="77777777" w:rsidR="00F977A3" w:rsidRPr="00E40182" w:rsidRDefault="00F977A3" w:rsidP="00393113">
            <w:pPr>
              <w:jc w:val="both"/>
              <w:rPr>
                <w:sz w:val="20"/>
                <w:szCs w:val="20"/>
              </w:rPr>
            </w:pPr>
            <w:r w:rsidRPr="00E40182">
              <w:rPr>
                <w:sz w:val="20"/>
                <w:szCs w:val="20"/>
              </w:rPr>
              <w:t>2 anos</w:t>
            </w:r>
          </w:p>
        </w:tc>
      </w:tr>
      <w:tr w:rsidR="00F977A3" w:rsidRPr="00846DD9" w14:paraId="1402B7D1" w14:textId="77777777" w:rsidTr="00393113">
        <w:trPr>
          <w:trHeight w:val="63"/>
        </w:trPr>
        <w:tc>
          <w:tcPr>
            <w:tcW w:w="1668" w:type="dxa"/>
            <w:shd w:val="clear" w:color="auto" w:fill="auto"/>
          </w:tcPr>
          <w:p w14:paraId="2E1AD601" w14:textId="77777777" w:rsidR="00F977A3" w:rsidRPr="00E40182" w:rsidRDefault="00F977A3" w:rsidP="00393113">
            <w:pPr>
              <w:jc w:val="both"/>
              <w:rPr>
                <w:sz w:val="20"/>
                <w:szCs w:val="20"/>
              </w:rPr>
            </w:pPr>
            <w:r w:rsidRPr="00E40182">
              <w:rPr>
                <w:sz w:val="20"/>
                <w:szCs w:val="20"/>
              </w:rPr>
              <w:t xml:space="preserve">E7 </w:t>
            </w:r>
          </w:p>
        </w:tc>
        <w:tc>
          <w:tcPr>
            <w:tcW w:w="2268" w:type="dxa"/>
            <w:shd w:val="clear" w:color="auto" w:fill="auto"/>
          </w:tcPr>
          <w:p w14:paraId="5690A879" w14:textId="77777777" w:rsidR="00F977A3" w:rsidRPr="00E40182" w:rsidRDefault="00F977A3" w:rsidP="00393113">
            <w:pPr>
              <w:jc w:val="both"/>
              <w:rPr>
                <w:sz w:val="20"/>
                <w:szCs w:val="20"/>
              </w:rPr>
            </w:pPr>
            <w:r w:rsidRPr="00E40182">
              <w:rPr>
                <w:sz w:val="20"/>
                <w:szCs w:val="20"/>
              </w:rPr>
              <w:t>Superior Completo</w:t>
            </w:r>
          </w:p>
        </w:tc>
        <w:tc>
          <w:tcPr>
            <w:tcW w:w="2693" w:type="dxa"/>
            <w:shd w:val="clear" w:color="auto" w:fill="auto"/>
          </w:tcPr>
          <w:p w14:paraId="069C0812" w14:textId="77777777" w:rsidR="00F977A3" w:rsidRPr="00E40182" w:rsidRDefault="00F977A3" w:rsidP="00393113">
            <w:pPr>
              <w:jc w:val="both"/>
              <w:rPr>
                <w:sz w:val="20"/>
                <w:szCs w:val="20"/>
              </w:rPr>
            </w:pPr>
            <w:r w:rsidRPr="00E40182">
              <w:rPr>
                <w:sz w:val="20"/>
                <w:szCs w:val="20"/>
              </w:rPr>
              <w:t>Especialista em TI</w:t>
            </w:r>
          </w:p>
        </w:tc>
        <w:tc>
          <w:tcPr>
            <w:tcW w:w="1887" w:type="dxa"/>
            <w:shd w:val="clear" w:color="auto" w:fill="auto"/>
          </w:tcPr>
          <w:p w14:paraId="2AEE5369" w14:textId="77777777" w:rsidR="00F977A3" w:rsidRPr="00E40182" w:rsidRDefault="00F977A3" w:rsidP="00393113">
            <w:pPr>
              <w:jc w:val="both"/>
              <w:rPr>
                <w:sz w:val="20"/>
                <w:szCs w:val="20"/>
              </w:rPr>
            </w:pPr>
            <w:r w:rsidRPr="00E40182">
              <w:rPr>
                <w:sz w:val="20"/>
                <w:szCs w:val="20"/>
              </w:rPr>
              <w:t>3 anos</w:t>
            </w:r>
          </w:p>
        </w:tc>
      </w:tr>
      <w:tr w:rsidR="00F977A3" w:rsidRPr="00846DD9" w14:paraId="5265F1C2" w14:textId="77777777" w:rsidTr="00393113">
        <w:trPr>
          <w:trHeight w:val="71"/>
        </w:trPr>
        <w:tc>
          <w:tcPr>
            <w:tcW w:w="1668" w:type="dxa"/>
            <w:shd w:val="clear" w:color="auto" w:fill="auto"/>
          </w:tcPr>
          <w:p w14:paraId="47528A24" w14:textId="77777777" w:rsidR="00F977A3" w:rsidRPr="00E40182" w:rsidRDefault="00F977A3" w:rsidP="00393113">
            <w:pPr>
              <w:jc w:val="both"/>
              <w:rPr>
                <w:sz w:val="20"/>
                <w:szCs w:val="20"/>
              </w:rPr>
            </w:pPr>
            <w:r w:rsidRPr="00E40182">
              <w:rPr>
                <w:sz w:val="20"/>
                <w:szCs w:val="20"/>
              </w:rPr>
              <w:t>E8</w:t>
            </w:r>
          </w:p>
        </w:tc>
        <w:tc>
          <w:tcPr>
            <w:tcW w:w="2268" w:type="dxa"/>
            <w:shd w:val="clear" w:color="auto" w:fill="auto"/>
          </w:tcPr>
          <w:p w14:paraId="448A7047" w14:textId="77777777" w:rsidR="00F977A3" w:rsidRPr="00E40182" w:rsidRDefault="00F977A3" w:rsidP="00393113">
            <w:pPr>
              <w:jc w:val="both"/>
              <w:rPr>
                <w:sz w:val="20"/>
                <w:szCs w:val="20"/>
              </w:rPr>
            </w:pPr>
            <w:r w:rsidRPr="00E40182">
              <w:rPr>
                <w:sz w:val="20"/>
                <w:szCs w:val="20"/>
              </w:rPr>
              <w:t>Superior Completo</w:t>
            </w:r>
          </w:p>
        </w:tc>
        <w:tc>
          <w:tcPr>
            <w:tcW w:w="2693" w:type="dxa"/>
            <w:shd w:val="clear" w:color="auto" w:fill="auto"/>
          </w:tcPr>
          <w:p w14:paraId="0E022E89" w14:textId="77777777" w:rsidR="00F977A3" w:rsidRPr="00E40182" w:rsidRDefault="00F977A3" w:rsidP="00393113">
            <w:pPr>
              <w:jc w:val="both"/>
              <w:rPr>
                <w:sz w:val="20"/>
                <w:szCs w:val="20"/>
              </w:rPr>
            </w:pPr>
            <w:r w:rsidRPr="00E40182">
              <w:rPr>
                <w:sz w:val="20"/>
                <w:szCs w:val="20"/>
              </w:rPr>
              <w:t>Gerente de TI</w:t>
            </w:r>
          </w:p>
        </w:tc>
        <w:tc>
          <w:tcPr>
            <w:tcW w:w="1887" w:type="dxa"/>
            <w:shd w:val="clear" w:color="auto" w:fill="auto"/>
          </w:tcPr>
          <w:p w14:paraId="04BFEFFA" w14:textId="77777777" w:rsidR="00F977A3" w:rsidRPr="00E40182" w:rsidRDefault="00F977A3" w:rsidP="00393113">
            <w:pPr>
              <w:jc w:val="both"/>
              <w:rPr>
                <w:sz w:val="20"/>
                <w:szCs w:val="20"/>
              </w:rPr>
            </w:pPr>
            <w:r w:rsidRPr="00E40182">
              <w:rPr>
                <w:sz w:val="20"/>
                <w:szCs w:val="20"/>
              </w:rPr>
              <w:t>4 anos</w:t>
            </w:r>
          </w:p>
        </w:tc>
      </w:tr>
    </w:tbl>
    <w:p w14:paraId="2BF87233" w14:textId="77777777" w:rsidR="00F977A3" w:rsidRPr="00ED271B" w:rsidRDefault="00F977A3" w:rsidP="00F977A3">
      <w:pPr>
        <w:jc w:val="both"/>
        <w:rPr>
          <w:b/>
          <w:sz w:val="20"/>
          <w:szCs w:val="20"/>
        </w:rPr>
      </w:pPr>
      <w:r w:rsidRPr="00ED271B">
        <w:rPr>
          <w:b/>
          <w:sz w:val="20"/>
          <w:szCs w:val="20"/>
        </w:rPr>
        <w:t xml:space="preserve">Quadro 1: Perfil dos entrevistados </w:t>
      </w:r>
    </w:p>
    <w:p w14:paraId="7541D661" w14:textId="77777777" w:rsidR="00F977A3" w:rsidRPr="00ED271B" w:rsidRDefault="00F977A3" w:rsidP="00F977A3">
      <w:pPr>
        <w:jc w:val="both"/>
        <w:rPr>
          <w:sz w:val="20"/>
          <w:szCs w:val="20"/>
        </w:rPr>
      </w:pPr>
      <w:r w:rsidRPr="00ED271B">
        <w:rPr>
          <w:sz w:val="20"/>
          <w:szCs w:val="20"/>
        </w:rPr>
        <w:t>Fonte: Elaborado pelos autores</w:t>
      </w:r>
    </w:p>
    <w:p w14:paraId="79CA4EDB" w14:textId="77777777" w:rsidR="00F977A3" w:rsidRPr="00846DD9" w:rsidRDefault="00F977A3" w:rsidP="00F977A3">
      <w:pPr>
        <w:jc w:val="both"/>
      </w:pPr>
    </w:p>
    <w:p w14:paraId="61401F11" w14:textId="77777777" w:rsidR="00F977A3" w:rsidRDefault="00F977A3" w:rsidP="00F977A3">
      <w:pPr>
        <w:ind w:firstLine="426"/>
        <w:jc w:val="both"/>
      </w:pPr>
      <w:r w:rsidRPr="00846DD9">
        <w:t xml:space="preserve">Conforme </w:t>
      </w:r>
      <w:proofErr w:type="spellStart"/>
      <w:r w:rsidRPr="00846DD9">
        <w:t>Thiollent</w:t>
      </w:r>
      <w:proofErr w:type="spellEnd"/>
      <w:r w:rsidRPr="00846DD9">
        <w:t xml:space="preserve"> (1997), a pesquisa ação não possui características extremamente rígidas. Ela pode ser adaptada conforme ao contexto, porém a forma mais comumente vista é a seguinte sequência lógica: 1)Fase exploratória; 2) Fase aprofundada; 3) Fase ação; e 4)Fase avaliação. Para fins deste relato, a sequência lógica foi seguida e está representada conforme a figura 1 abaixo.</w:t>
      </w:r>
    </w:p>
    <w:p w14:paraId="73F4C496" w14:textId="77777777" w:rsidR="00F977A3" w:rsidRPr="00846DD9" w:rsidRDefault="00F977A3" w:rsidP="00F977A3">
      <w:pPr>
        <w:jc w:val="both"/>
      </w:pPr>
    </w:p>
    <w:p w14:paraId="1026A089" w14:textId="77777777" w:rsidR="00F977A3" w:rsidRPr="00846DD9" w:rsidRDefault="00F977A3" w:rsidP="00F977A3">
      <w:pPr>
        <w:jc w:val="both"/>
      </w:pPr>
      <w:r>
        <w:rPr>
          <w:noProof/>
          <w:sz w:val="20"/>
          <w:szCs w:val="20"/>
          <w:lang w:val="en-US" w:eastAsia="en-US"/>
        </w:rPr>
        <w:drawing>
          <wp:inline distT="0" distB="0" distL="0" distR="0" wp14:anchorId="57F2D624" wp14:editId="1A0E0383">
            <wp:extent cx="3759200" cy="398780"/>
            <wp:effectExtent l="0" t="177800" r="25400" b="18542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E96CEE" w14:textId="77777777" w:rsidR="00F977A3" w:rsidRPr="00ED271B" w:rsidRDefault="00F977A3" w:rsidP="00F977A3">
      <w:pPr>
        <w:jc w:val="both"/>
        <w:rPr>
          <w:b/>
          <w:sz w:val="20"/>
          <w:szCs w:val="20"/>
        </w:rPr>
      </w:pPr>
      <w:r w:rsidRPr="00ED271B">
        <w:rPr>
          <w:b/>
          <w:sz w:val="20"/>
          <w:szCs w:val="20"/>
        </w:rPr>
        <w:t>Figura 1: A sequencia lógica do Relato Técnico</w:t>
      </w:r>
    </w:p>
    <w:p w14:paraId="7A04B309" w14:textId="77777777" w:rsidR="00F977A3" w:rsidRPr="00ED271B" w:rsidRDefault="00F977A3" w:rsidP="00F977A3">
      <w:pPr>
        <w:jc w:val="both"/>
        <w:rPr>
          <w:sz w:val="20"/>
          <w:szCs w:val="20"/>
        </w:rPr>
      </w:pPr>
      <w:r w:rsidRPr="00ED271B">
        <w:rPr>
          <w:sz w:val="20"/>
          <w:szCs w:val="20"/>
        </w:rPr>
        <w:t>Fonte: Elaborado pelos autores</w:t>
      </w:r>
    </w:p>
    <w:p w14:paraId="2155528A" w14:textId="77777777" w:rsidR="00F977A3" w:rsidRDefault="00F977A3" w:rsidP="00F977A3">
      <w:pPr>
        <w:pStyle w:val="ListParagraph"/>
        <w:ind w:left="0"/>
        <w:jc w:val="both"/>
        <w:rPr>
          <w:b/>
        </w:rPr>
      </w:pPr>
    </w:p>
    <w:p w14:paraId="614C2BC2" w14:textId="77777777" w:rsidR="00F977A3" w:rsidRPr="00846DD9" w:rsidRDefault="00F977A3" w:rsidP="00F977A3">
      <w:pPr>
        <w:pStyle w:val="ListParagraph"/>
        <w:numPr>
          <w:ilvl w:val="0"/>
          <w:numId w:val="1"/>
        </w:numPr>
        <w:contextualSpacing/>
        <w:jc w:val="both"/>
        <w:rPr>
          <w:b/>
        </w:rPr>
      </w:pPr>
      <w:r w:rsidRPr="00846DD9">
        <w:rPr>
          <w:b/>
        </w:rPr>
        <w:t>TIPO DA INTERVENÇÃO E MECANISMOS ADOTADOS</w:t>
      </w:r>
    </w:p>
    <w:p w14:paraId="42379116" w14:textId="77777777" w:rsidR="00F977A3" w:rsidRPr="00846DD9" w:rsidRDefault="00F977A3" w:rsidP="00F977A3">
      <w:pPr>
        <w:pStyle w:val="ListParagraph"/>
        <w:ind w:left="360"/>
        <w:jc w:val="both"/>
      </w:pPr>
    </w:p>
    <w:p w14:paraId="68C5CA23" w14:textId="77777777" w:rsidR="00F977A3" w:rsidRDefault="00F977A3" w:rsidP="00F977A3">
      <w:pPr>
        <w:pStyle w:val="ListParagraph"/>
        <w:numPr>
          <w:ilvl w:val="1"/>
          <w:numId w:val="1"/>
        </w:numPr>
        <w:contextualSpacing/>
        <w:jc w:val="both"/>
        <w:rPr>
          <w:b/>
        </w:rPr>
      </w:pPr>
      <w:r w:rsidRPr="00846DD9">
        <w:rPr>
          <w:b/>
        </w:rPr>
        <w:t>Característica da organização</w:t>
      </w:r>
    </w:p>
    <w:p w14:paraId="06E8960E" w14:textId="77777777" w:rsidR="00F977A3" w:rsidRPr="00FF1A96" w:rsidRDefault="00F977A3" w:rsidP="00F977A3">
      <w:pPr>
        <w:pStyle w:val="ListParagraph"/>
        <w:ind w:left="360"/>
        <w:contextualSpacing/>
        <w:jc w:val="both"/>
        <w:rPr>
          <w:b/>
        </w:rPr>
      </w:pPr>
    </w:p>
    <w:p w14:paraId="23D15BCC" w14:textId="77777777" w:rsidR="00F977A3" w:rsidRPr="00846DD9" w:rsidRDefault="00F977A3" w:rsidP="00F977A3">
      <w:pPr>
        <w:ind w:firstLine="426"/>
        <w:jc w:val="both"/>
      </w:pPr>
      <w:r w:rsidRPr="00846DD9">
        <w:t xml:space="preserve">Para garantir o anonimato da empresa envolvida neste estudo, ela será tratada pelo nome fictício de Alpha. Trata-se de uma administradora de mercados organizados de títulos, valores imobiliários e contratos derivativos. </w:t>
      </w:r>
      <w:r>
        <w:t xml:space="preserve">Possui </w:t>
      </w:r>
      <w:r w:rsidRPr="00846DD9">
        <w:t xml:space="preserve">sede em São Paulo e escritórios pelo mundo. Em 2014 contava com 1357 empregados e 85 estagiários. Totalizava 18,715 bilhões de reais em valor de mercado. Tem alto investimento em tecnologia e foca em aperfeiçoamento de infraestrutura tecnológica como forma de eficácia operacional. </w:t>
      </w:r>
    </w:p>
    <w:p w14:paraId="31BB6A3E" w14:textId="77777777" w:rsidR="00F977A3" w:rsidRPr="00846DD9" w:rsidRDefault="00F977A3" w:rsidP="00F977A3">
      <w:pPr>
        <w:pStyle w:val="ListParagraph"/>
        <w:jc w:val="both"/>
        <w:rPr>
          <w:b/>
        </w:rPr>
      </w:pPr>
    </w:p>
    <w:p w14:paraId="7DE78AC9" w14:textId="77777777" w:rsidR="00F977A3" w:rsidRPr="00454783" w:rsidRDefault="00F977A3" w:rsidP="00F977A3">
      <w:pPr>
        <w:pStyle w:val="ListParagraph"/>
        <w:numPr>
          <w:ilvl w:val="1"/>
          <w:numId w:val="1"/>
        </w:numPr>
        <w:contextualSpacing/>
        <w:jc w:val="both"/>
      </w:pPr>
      <w:r w:rsidRPr="00846DD9">
        <w:rPr>
          <w:b/>
        </w:rPr>
        <w:t xml:space="preserve">Diagnóstico da Alpha </w:t>
      </w:r>
    </w:p>
    <w:p w14:paraId="36C43F0D" w14:textId="77777777" w:rsidR="00F977A3" w:rsidRPr="00846DD9" w:rsidRDefault="00F977A3" w:rsidP="00F977A3">
      <w:pPr>
        <w:pStyle w:val="ListParagraph"/>
        <w:ind w:left="360"/>
        <w:contextualSpacing/>
        <w:jc w:val="both"/>
      </w:pPr>
    </w:p>
    <w:p w14:paraId="21B39D48" w14:textId="77777777" w:rsidR="00F977A3" w:rsidRPr="00846DD9" w:rsidRDefault="00F977A3" w:rsidP="00F977A3">
      <w:pPr>
        <w:ind w:firstLine="360"/>
        <w:jc w:val="both"/>
      </w:pPr>
      <w:r w:rsidRPr="00846DD9">
        <w:t xml:space="preserve">Na Alpha, a situação problema consistia num cenário de falhas recorrentes advindas de implementações errôneas, indevidas, fora da janela estabelecida e não aprovadas nos ambientes não produtivos. Em agosto de 2012 a Empresa já havia sofrido aproximadamente 460 incidentes, cerca de 20 incidentes por dia. </w:t>
      </w:r>
    </w:p>
    <w:p w14:paraId="02A5988B" w14:textId="77777777" w:rsidR="00F977A3" w:rsidRDefault="00F977A3" w:rsidP="00F977A3">
      <w:pPr>
        <w:ind w:firstLine="426"/>
        <w:jc w:val="both"/>
      </w:pPr>
    </w:p>
    <w:p w14:paraId="25D9C79E" w14:textId="77777777" w:rsidR="00F977A3" w:rsidRDefault="00F977A3" w:rsidP="00F977A3">
      <w:pPr>
        <w:ind w:firstLine="426"/>
        <w:jc w:val="both"/>
      </w:pPr>
    </w:p>
    <w:p w14:paraId="2ECBB7F1" w14:textId="77777777" w:rsidR="00F977A3" w:rsidRPr="00846DD9" w:rsidRDefault="00F977A3" w:rsidP="00F977A3">
      <w:pPr>
        <w:ind w:firstLine="426"/>
        <w:jc w:val="both"/>
      </w:pPr>
      <w:r w:rsidRPr="00846DD9">
        <w:t>Dada a realidade apresentada, o gerenciamento dos serviços de TI tornou-se fundamental no dia a dia da corporação para diversas atividades, como o planejamento das atividades realizadas por seus colaboradores e clientes, para a comunicação interna e externa, para o desenvolvimento de sistemas e aplicações,  entre outros.</w:t>
      </w:r>
    </w:p>
    <w:p w14:paraId="585C643A" w14:textId="77777777" w:rsidR="00F977A3" w:rsidRPr="00846DD9" w:rsidRDefault="00F977A3" w:rsidP="00F977A3">
      <w:pPr>
        <w:ind w:firstLine="426"/>
        <w:jc w:val="both"/>
      </w:pPr>
      <w:r w:rsidRPr="00846DD9">
        <w:t>A Alpha divide seu ambiente de TI em dois grandes eixos: ambiente produtivo e ambiente não produtivo. No produtivo encontram-se todas as soluções inicialmente testadas, avaliadas e aprovadas no ambiente não produtivo, que por sua vez é a porta de entrada para todos e quaisquer sistemas ou testes sistêmicos que a empresa deseje oferecer aos seus clientes, sejam eles internos ou externos. Como clientes internos a empresa Alpha conta com os seus colaboradores, que utilizam sistemas desenvolvidos pela casa.</w:t>
      </w:r>
    </w:p>
    <w:p w14:paraId="6B7DF071" w14:textId="77777777" w:rsidR="00F977A3" w:rsidRPr="00846DD9" w:rsidRDefault="00F977A3" w:rsidP="00F977A3">
      <w:pPr>
        <w:ind w:firstLine="426"/>
        <w:jc w:val="both"/>
      </w:pPr>
      <w:r w:rsidRPr="00846DD9">
        <w:t>Apesar do nome sugerir irrelevância, os ambientes não produtivos da Alpha têm cerca de 1500 servidores físicos e 300 servidores virtuais. Um parque tecnológico robusto e que precisa de gestão para ser eficiente e acrescentar valor ao negócio. Em 2012 os ambientes não produtivos tiveram cerca de 1200 solicitações de mudança (média de 100 mudanças ao mês ou 5 mudanças ao dia). O ambiente não produtivo é utilizado internamente pelas equipes de desenvolvimento e qualidade. Todas as soluções implementadas na Alpha passam pelos ambientes não produtivos antes da entrada no ambiente produtivo, ele funciona como a porta de entrada de um sistema. Porém, os ambientes não produtivos também são utilizados pelos clientes da empresa Alpha, que certificam suas soluções desenvolvidas nos ambientes da Alpha, além de utilizarem para treinamentos e ações com clientes.</w:t>
      </w:r>
    </w:p>
    <w:p w14:paraId="597E040E" w14:textId="77777777" w:rsidR="00F977A3" w:rsidRPr="00846DD9" w:rsidRDefault="00F977A3" w:rsidP="00F977A3">
      <w:pPr>
        <w:ind w:firstLine="426"/>
        <w:jc w:val="both"/>
      </w:pPr>
      <w:r w:rsidRPr="00846DD9">
        <w:t>Além da grande quantidade de demandas, as reclamações eram constantes, advindas de falhas sistêmicas, implementações malsucedidas, indisponibilidade de ambientes em momentos não planejados, interrupções de serviços, entre outros. De acordo com o entrevistado E1: “...o ambiente estava completamente errado e não havia confiabilidade e segurança...”. Dada a notória problemática, os gerentes dos ambientes não produtivos, alinhados com a diretoria estratégica, notaram a necessidade de redesenhar seu processo interno como forma de aumentar a qualidade dos serviços. Iniciou-se, então, o desenvolvimento de um processo de gestão de mudanças com base nos preceitos da ITIL.</w:t>
      </w:r>
    </w:p>
    <w:p w14:paraId="526E613B" w14:textId="77777777" w:rsidR="00F977A3" w:rsidRDefault="00F977A3" w:rsidP="00F977A3">
      <w:pPr>
        <w:ind w:firstLine="426"/>
        <w:jc w:val="both"/>
      </w:pPr>
      <w:r>
        <w:t xml:space="preserve">Ainda que tivesse </w:t>
      </w:r>
      <w:r w:rsidRPr="00846DD9">
        <w:t xml:space="preserve">um novo processo, a Alpha precisava de uma ferramenta capaz de suportá-la. O ferramental escolhido foi o </w:t>
      </w:r>
      <w:proofErr w:type="spellStart"/>
      <w:r w:rsidRPr="00846DD9">
        <w:t>R</w:t>
      </w:r>
      <w:r>
        <w:t>emedy</w:t>
      </w:r>
      <w:proofErr w:type="spellEnd"/>
      <w:r w:rsidRPr="00846DD9">
        <w:t xml:space="preserve"> da fornecedora BMC, dos Estados Unidos. O módulo do </w:t>
      </w:r>
      <w:proofErr w:type="spellStart"/>
      <w:r w:rsidRPr="00846DD9">
        <w:t>Remedy</w:t>
      </w:r>
      <w:proofErr w:type="spellEnd"/>
      <w:r w:rsidRPr="00846DD9">
        <w:t xml:space="preserve"> utilizado foi o </w:t>
      </w:r>
      <w:proofErr w:type="spellStart"/>
      <w:r w:rsidRPr="00454783">
        <w:rPr>
          <w:i/>
        </w:rPr>
        <w:t>Change</w:t>
      </w:r>
      <w:proofErr w:type="spellEnd"/>
      <w:r w:rsidRPr="00454783">
        <w:rPr>
          <w:i/>
        </w:rPr>
        <w:t xml:space="preserve"> Management</w:t>
      </w:r>
      <w:r w:rsidRPr="00846DD9">
        <w:t xml:space="preserve">. A escolha do </w:t>
      </w:r>
      <w:proofErr w:type="spellStart"/>
      <w:r w:rsidRPr="00846DD9">
        <w:t>Remedy</w:t>
      </w:r>
      <w:proofErr w:type="spellEnd"/>
      <w:r w:rsidRPr="00846DD9">
        <w:t xml:space="preserve"> foi, primeiramente, pelo fato de ser uma ferramenta já homologada pela Alpha e por ser uma ferramenta previamente já utilizada pela Alpha em seus ambientes produtivos. Trata-se de uma ferramenta com licença de uso e bem reconhecida no mercado, com múltiplos casos de sucesso. Entre os casos de êxito encontram-se o Banco de Comunicações, a </w:t>
      </w:r>
      <w:proofErr w:type="spellStart"/>
      <w:r w:rsidRPr="00846DD9">
        <w:t>Societé</w:t>
      </w:r>
      <w:proofErr w:type="spellEnd"/>
      <w:r w:rsidRPr="00846DD9">
        <w:t xml:space="preserve"> </w:t>
      </w:r>
      <w:proofErr w:type="spellStart"/>
      <w:r w:rsidRPr="00846DD9">
        <w:t>Generalé</w:t>
      </w:r>
      <w:proofErr w:type="spellEnd"/>
      <w:r w:rsidRPr="00846DD9">
        <w:t xml:space="preserve">, </w:t>
      </w:r>
      <w:proofErr w:type="spellStart"/>
      <w:r w:rsidRPr="00846DD9">
        <w:t>Marriot</w:t>
      </w:r>
      <w:proofErr w:type="spellEnd"/>
      <w:r w:rsidRPr="00846DD9">
        <w:t xml:space="preserve"> e Dell. </w:t>
      </w:r>
    </w:p>
    <w:p w14:paraId="6F94ED98" w14:textId="77777777" w:rsidR="00F977A3" w:rsidRPr="00846DD9" w:rsidRDefault="00F977A3" w:rsidP="00F977A3">
      <w:pPr>
        <w:ind w:firstLine="720"/>
        <w:jc w:val="both"/>
      </w:pPr>
    </w:p>
    <w:p w14:paraId="3F6BE644" w14:textId="77777777" w:rsidR="00F977A3" w:rsidRPr="00846DD9" w:rsidRDefault="00F977A3" w:rsidP="00F977A3">
      <w:pPr>
        <w:jc w:val="both"/>
        <w:rPr>
          <w:b/>
        </w:rPr>
      </w:pPr>
      <w:r>
        <w:rPr>
          <w:b/>
        </w:rPr>
        <w:t>4</w:t>
      </w:r>
      <w:r w:rsidRPr="00846DD9">
        <w:rPr>
          <w:b/>
        </w:rPr>
        <w:t xml:space="preserve">.3 Mecanismos Adotados </w:t>
      </w:r>
    </w:p>
    <w:p w14:paraId="296D96E5" w14:textId="77777777" w:rsidR="00F977A3" w:rsidRPr="00846DD9" w:rsidRDefault="00F977A3" w:rsidP="00F977A3">
      <w:pPr>
        <w:jc w:val="both"/>
      </w:pPr>
    </w:p>
    <w:p w14:paraId="6C42A103" w14:textId="77777777" w:rsidR="00F977A3" w:rsidRPr="00846DD9" w:rsidRDefault="00F977A3" w:rsidP="00F977A3">
      <w:pPr>
        <w:ind w:firstLine="426"/>
        <w:jc w:val="both"/>
      </w:pPr>
      <w:r w:rsidRPr="00846DD9">
        <w:t>O processo de Gestão de Mudanças implementado na Alpha teve por objetivo garantir o máximo de disponibilidade, o mínimo de risco e impacto para o ambiente que afetem diretamente ou indiretamente os serviços prestados aos clientes. A Alpha definiu que todas as alterações deveriam cumprir o processo de Gestão de Mudanças, que foi publicado na intranet. Além da disponibilização do novo processo, todos os colaboradores obtiveram treinamento prático de aproximadamente quatro horas.</w:t>
      </w:r>
    </w:p>
    <w:p w14:paraId="5327D76A" w14:textId="77777777" w:rsidR="00F977A3" w:rsidRDefault="00F977A3" w:rsidP="00F977A3">
      <w:pPr>
        <w:ind w:firstLine="426"/>
        <w:jc w:val="both"/>
      </w:pPr>
      <w:r w:rsidRPr="00846DD9">
        <w:t xml:space="preserve">A estrutura normativa da Gestão de Mudanças Não Produção da Alpha é composta por um conjunto de documentos: I) políticas, que definem a estrutura e obrigações da gestão de mudanças; II) normas, que orientam a condução do ciclo de vida das mudanças; III) procedimento, que orienta o gestor de mudanças a controlar e executar a mudança de acordo </w:t>
      </w:r>
    </w:p>
    <w:p w14:paraId="3A7FE9EE" w14:textId="77777777" w:rsidR="00F977A3" w:rsidRDefault="00F977A3" w:rsidP="00F977A3">
      <w:pPr>
        <w:jc w:val="both"/>
      </w:pPr>
    </w:p>
    <w:p w14:paraId="583E22EE" w14:textId="77777777" w:rsidR="00F977A3" w:rsidRPr="00846DD9" w:rsidRDefault="00F977A3" w:rsidP="00F977A3">
      <w:pPr>
        <w:jc w:val="both"/>
      </w:pPr>
      <w:r w:rsidRPr="00846DD9">
        <w:t>com o ciclo de vida. Todos os documentos são atualizados anualmente ou de acordo com a necessidade mediante de aprovação da diretoria de TI.</w:t>
      </w:r>
      <w:r>
        <w:t xml:space="preserve"> </w:t>
      </w:r>
      <w:r w:rsidRPr="00846DD9">
        <w:t>A política de Gestão de Mudanças da Alpha define o papel da equipe de gestão de mudanças, dos demandantes, executores e aprovadores de mudanças e das áreas de negócios.</w:t>
      </w:r>
    </w:p>
    <w:p w14:paraId="62CEEBA3" w14:textId="77777777" w:rsidR="00F977A3" w:rsidRPr="00846DD9" w:rsidRDefault="00F977A3" w:rsidP="00F977A3">
      <w:pPr>
        <w:ind w:firstLine="426"/>
        <w:jc w:val="both"/>
      </w:pPr>
      <w:r w:rsidRPr="00846DD9">
        <w:t xml:space="preserve">A equipe de gestão de mudanças foi criada a fim de receber dos demandantes as informações e os requisitos para início das mudanças. Com isso, a equipe pode categorizar as mudanças e garantir que elas sejam testadas e certificadas. É função da equipe de gestão de mudanças avaliar os planos de contorno, retorno e validação, mitigar riscos, impactos e avaliar a disponibilidade de recursos físicos, humanos e janelas de execução. O gestor de mudanças pode aprovar, recusar ou alterar uma mudança, além de garantir a atualização no ferramental de apoio a gestão, o </w:t>
      </w:r>
      <w:proofErr w:type="spellStart"/>
      <w:r w:rsidRPr="00846DD9">
        <w:t>Remedy</w:t>
      </w:r>
      <w:proofErr w:type="spellEnd"/>
      <w:r w:rsidRPr="00846DD9">
        <w:t>.</w:t>
      </w:r>
    </w:p>
    <w:p w14:paraId="3732AAA0" w14:textId="77777777" w:rsidR="00F977A3" w:rsidRPr="00846DD9" w:rsidRDefault="00F977A3" w:rsidP="00F977A3">
      <w:pPr>
        <w:ind w:firstLine="426"/>
        <w:jc w:val="both"/>
      </w:pPr>
      <w:r w:rsidRPr="00846DD9">
        <w:t>Os demandantes são responsáveis por iniciar o fluxo da mudança, de acordo com as políticas e normas vigentes, descrevendo com clareza o objetivo da mudança e os planos de validação e contorno. Devem fornecer informações sobre o risco tecnológico envolvido e participar das reuniões de esclarecimentos. O demandante deve prover as informações solicitadas pela Gestão de Mudanças; para tanto existe um formulário para auxiliá-los.</w:t>
      </w:r>
    </w:p>
    <w:p w14:paraId="2DC890DF" w14:textId="77777777" w:rsidR="00F977A3" w:rsidRPr="00846DD9" w:rsidRDefault="00F977A3" w:rsidP="00F977A3">
      <w:pPr>
        <w:ind w:firstLine="426"/>
        <w:jc w:val="both"/>
      </w:pPr>
      <w:r w:rsidRPr="00846DD9">
        <w:t>Os executores da mudança podem ser os próprios colaboradores da Alpha ou parceiros e consultores externos. Eles devem ter pleno conhecimento das atividades que executarão, além de revisar, entender e atualizar a ferramenta.</w:t>
      </w:r>
      <w:r>
        <w:t xml:space="preserve"> </w:t>
      </w:r>
      <w:r w:rsidRPr="00846DD9">
        <w:t>As áreas de negócio são responsáveis por analisar e validar o impacto das mudanças solicitadas. Os aprovadores das mudanças devem analisar o risco, impacto, agendamento, capacidade de execução, exigências de órgãos reguladores e outros requisitos necessários para aprovação ou recusa da mudança.</w:t>
      </w:r>
    </w:p>
    <w:p w14:paraId="026A7F33" w14:textId="77777777" w:rsidR="00F977A3" w:rsidRDefault="00F977A3" w:rsidP="00F977A3">
      <w:pPr>
        <w:ind w:firstLine="426"/>
        <w:jc w:val="both"/>
      </w:pPr>
      <w:r w:rsidRPr="00846DD9">
        <w:t>Para sintetizar e representar graficamente os envolvidos no processo de gestão de mudanças, bem como o tipo de envolvimento desprendido por cada participante, utilizou-se a</w:t>
      </w:r>
      <w:r>
        <w:t xml:space="preserve"> </w:t>
      </w:r>
      <w:r w:rsidRPr="00846DD9">
        <w:t>matriz RACI, trata-se de uma ferramenta comumente utilizada para garantir que os recursos conheçam seus papéis e responsabilidades. (PMBOK, 2014)</w:t>
      </w:r>
    </w:p>
    <w:p w14:paraId="4A9E863E" w14:textId="77777777" w:rsidR="00F977A3" w:rsidRPr="00846DD9" w:rsidRDefault="00F977A3" w:rsidP="00F977A3">
      <w:pPr>
        <w:ind w:firstLine="720"/>
        <w:jc w:val="both"/>
      </w:pP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851"/>
        <w:gridCol w:w="567"/>
        <w:gridCol w:w="850"/>
        <w:gridCol w:w="992"/>
        <w:gridCol w:w="1276"/>
      </w:tblGrid>
      <w:tr w:rsidR="00F977A3" w:rsidRPr="004A58A8" w14:paraId="55140043" w14:textId="77777777" w:rsidTr="00393113">
        <w:tc>
          <w:tcPr>
            <w:tcW w:w="8188" w:type="dxa"/>
            <w:gridSpan w:val="6"/>
            <w:shd w:val="clear" w:color="auto" w:fill="auto"/>
          </w:tcPr>
          <w:p w14:paraId="3E90D3A4" w14:textId="77777777" w:rsidR="00F977A3" w:rsidRPr="004A58A8" w:rsidRDefault="00F977A3" w:rsidP="00393113">
            <w:pPr>
              <w:jc w:val="center"/>
              <w:rPr>
                <w:sz w:val="20"/>
              </w:rPr>
            </w:pPr>
            <w:r w:rsidRPr="004A58A8">
              <w:rPr>
                <w:sz w:val="20"/>
              </w:rPr>
              <w:t>Matriz RACI</w:t>
            </w:r>
          </w:p>
        </w:tc>
      </w:tr>
      <w:tr w:rsidR="00F977A3" w:rsidRPr="004A58A8" w14:paraId="7FED0ABC" w14:textId="77777777" w:rsidTr="00393113">
        <w:trPr>
          <w:trHeight w:val="727"/>
        </w:trPr>
        <w:tc>
          <w:tcPr>
            <w:tcW w:w="3652" w:type="dxa"/>
            <w:shd w:val="clear" w:color="auto" w:fill="auto"/>
          </w:tcPr>
          <w:p w14:paraId="7B5AE154" w14:textId="77777777" w:rsidR="00F977A3" w:rsidRPr="004A58A8" w:rsidRDefault="00F977A3" w:rsidP="00393113">
            <w:pPr>
              <w:ind w:right="-108"/>
              <w:jc w:val="both"/>
              <w:rPr>
                <w:sz w:val="20"/>
              </w:rPr>
            </w:pPr>
            <w:r w:rsidRPr="004A58A8">
              <w:rPr>
                <w:sz w:val="20"/>
              </w:rPr>
              <w:t>Atividade</w:t>
            </w:r>
          </w:p>
        </w:tc>
        <w:tc>
          <w:tcPr>
            <w:tcW w:w="851" w:type="dxa"/>
            <w:shd w:val="clear" w:color="auto" w:fill="auto"/>
          </w:tcPr>
          <w:p w14:paraId="68834F4C" w14:textId="77777777" w:rsidR="00F977A3" w:rsidRPr="004A58A8" w:rsidRDefault="00F977A3" w:rsidP="00393113">
            <w:pPr>
              <w:ind w:right="-108"/>
              <w:jc w:val="both"/>
              <w:rPr>
                <w:sz w:val="20"/>
              </w:rPr>
            </w:pPr>
            <w:r w:rsidRPr="004A58A8">
              <w:rPr>
                <w:sz w:val="20"/>
              </w:rPr>
              <w:t>Área de Negócio</w:t>
            </w:r>
          </w:p>
        </w:tc>
        <w:tc>
          <w:tcPr>
            <w:tcW w:w="567" w:type="dxa"/>
            <w:shd w:val="clear" w:color="auto" w:fill="auto"/>
          </w:tcPr>
          <w:p w14:paraId="1085F326" w14:textId="77777777" w:rsidR="00F977A3" w:rsidRPr="004A58A8" w:rsidRDefault="00F977A3" w:rsidP="00393113">
            <w:pPr>
              <w:ind w:right="-108"/>
              <w:jc w:val="both"/>
              <w:rPr>
                <w:sz w:val="20"/>
              </w:rPr>
            </w:pPr>
            <w:r w:rsidRPr="004A58A8">
              <w:rPr>
                <w:sz w:val="20"/>
              </w:rPr>
              <w:t>Executor</w:t>
            </w:r>
          </w:p>
        </w:tc>
        <w:tc>
          <w:tcPr>
            <w:tcW w:w="850" w:type="dxa"/>
            <w:shd w:val="clear" w:color="auto" w:fill="auto"/>
          </w:tcPr>
          <w:p w14:paraId="7DCDB8CA" w14:textId="77777777" w:rsidR="00F977A3" w:rsidRPr="004A58A8" w:rsidRDefault="00F977A3" w:rsidP="00393113">
            <w:pPr>
              <w:ind w:right="-108"/>
              <w:jc w:val="both"/>
              <w:rPr>
                <w:sz w:val="20"/>
              </w:rPr>
            </w:pPr>
            <w:r w:rsidRPr="004A58A8">
              <w:rPr>
                <w:sz w:val="20"/>
              </w:rPr>
              <w:t>Demandante</w:t>
            </w:r>
          </w:p>
        </w:tc>
        <w:tc>
          <w:tcPr>
            <w:tcW w:w="992" w:type="dxa"/>
            <w:shd w:val="clear" w:color="auto" w:fill="auto"/>
          </w:tcPr>
          <w:p w14:paraId="5837223B" w14:textId="77777777" w:rsidR="00F977A3" w:rsidRPr="004A58A8" w:rsidRDefault="00F977A3" w:rsidP="00393113">
            <w:pPr>
              <w:ind w:right="-108"/>
              <w:jc w:val="both"/>
              <w:rPr>
                <w:sz w:val="20"/>
              </w:rPr>
            </w:pPr>
            <w:r w:rsidRPr="004A58A8">
              <w:rPr>
                <w:sz w:val="20"/>
              </w:rPr>
              <w:t>Gestor de Mudança</w:t>
            </w:r>
          </w:p>
        </w:tc>
        <w:tc>
          <w:tcPr>
            <w:tcW w:w="1276" w:type="dxa"/>
            <w:shd w:val="clear" w:color="auto" w:fill="auto"/>
          </w:tcPr>
          <w:p w14:paraId="56290D38" w14:textId="77777777" w:rsidR="00F977A3" w:rsidRPr="004A58A8" w:rsidRDefault="00F977A3" w:rsidP="00393113">
            <w:pPr>
              <w:ind w:right="-108"/>
              <w:jc w:val="both"/>
              <w:rPr>
                <w:sz w:val="20"/>
              </w:rPr>
            </w:pPr>
            <w:r w:rsidRPr="004A58A8">
              <w:rPr>
                <w:sz w:val="20"/>
              </w:rPr>
              <w:t>Aprovadores</w:t>
            </w:r>
          </w:p>
        </w:tc>
      </w:tr>
      <w:tr w:rsidR="00F977A3" w:rsidRPr="004A58A8" w14:paraId="6D27E53E" w14:textId="77777777" w:rsidTr="00393113">
        <w:trPr>
          <w:trHeight w:val="63"/>
        </w:trPr>
        <w:tc>
          <w:tcPr>
            <w:tcW w:w="3652" w:type="dxa"/>
            <w:shd w:val="clear" w:color="auto" w:fill="auto"/>
          </w:tcPr>
          <w:p w14:paraId="43C1D5FE" w14:textId="77777777" w:rsidR="00F977A3" w:rsidRPr="004A58A8" w:rsidRDefault="00F977A3" w:rsidP="00393113">
            <w:pPr>
              <w:jc w:val="both"/>
              <w:rPr>
                <w:sz w:val="20"/>
              </w:rPr>
            </w:pPr>
            <w:r w:rsidRPr="004A58A8">
              <w:rPr>
                <w:sz w:val="20"/>
              </w:rPr>
              <w:t>Plano de Contorno e Retorno</w:t>
            </w:r>
          </w:p>
        </w:tc>
        <w:tc>
          <w:tcPr>
            <w:tcW w:w="851" w:type="dxa"/>
            <w:shd w:val="clear" w:color="auto" w:fill="auto"/>
          </w:tcPr>
          <w:p w14:paraId="7E3B4950" w14:textId="77777777" w:rsidR="00F977A3" w:rsidRPr="004A58A8" w:rsidRDefault="00F977A3" w:rsidP="00393113">
            <w:pPr>
              <w:jc w:val="both"/>
              <w:rPr>
                <w:sz w:val="20"/>
              </w:rPr>
            </w:pPr>
            <w:r w:rsidRPr="004A58A8">
              <w:rPr>
                <w:sz w:val="20"/>
              </w:rPr>
              <w:t>C/I</w:t>
            </w:r>
          </w:p>
        </w:tc>
        <w:tc>
          <w:tcPr>
            <w:tcW w:w="567" w:type="dxa"/>
            <w:shd w:val="clear" w:color="auto" w:fill="auto"/>
          </w:tcPr>
          <w:p w14:paraId="43786C50" w14:textId="77777777" w:rsidR="00F977A3" w:rsidRPr="004A58A8" w:rsidRDefault="00F977A3" w:rsidP="00393113">
            <w:pPr>
              <w:jc w:val="both"/>
              <w:rPr>
                <w:sz w:val="20"/>
              </w:rPr>
            </w:pPr>
            <w:r w:rsidRPr="004A58A8">
              <w:rPr>
                <w:sz w:val="20"/>
              </w:rPr>
              <w:t>C/I</w:t>
            </w:r>
          </w:p>
        </w:tc>
        <w:tc>
          <w:tcPr>
            <w:tcW w:w="850" w:type="dxa"/>
            <w:shd w:val="clear" w:color="auto" w:fill="auto"/>
          </w:tcPr>
          <w:p w14:paraId="7DE0026A" w14:textId="77777777" w:rsidR="00F977A3" w:rsidRPr="004A58A8" w:rsidRDefault="00F977A3" w:rsidP="00393113">
            <w:pPr>
              <w:jc w:val="both"/>
              <w:rPr>
                <w:sz w:val="20"/>
              </w:rPr>
            </w:pPr>
            <w:r w:rsidRPr="004A58A8">
              <w:rPr>
                <w:sz w:val="20"/>
              </w:rPr>
              <w:t>R/C</w:t>
            </w:r>
          </w:p>
        </w:tc>
        <w:tc>
          <w:tcPr>
            <w:tcW w:w="992" w:type="dxa"/>
            <w:shd w:val="clear" w:color="auto" w:fill="auto"/>
          </w:tcPr>
          <w:p w14:paraId="15C9960B" w14:textId="77777777" w:rsidR="00F977A3" w:rsidRPr="004A58A8" w:rsidRDefault="00F977A3" w:rsidP="00393113">
            <w:pPr>
              <w:jc w:val="both"/>
              <w:rPr>
                <w:sz w:val="20"/>
              </w:rPr>
            </w:pPr>
            <w:r w:rsidRPr="004A58A8">
              <w:rPr>
                <w:sz w:val="20"/>
              </w:rPr>
              <w:t>A/R</w:t>
            </w:r>
          </w:p>
        </w:tc>
        <w:tc>
          <w:tcPr>
            <w:tcW w:w="1276" w:type="dxa"/>
            <w:shd w:val="clear" w:color="auto" w:fill="auto"/>
          </w:tcPr>
          <w:p w14:paraId="718DEF72" w14:textId="77777777" w:rsidR="00F977A3" w:rsidRPr="004A58A8" w:rsidRDefault="00F977A3" w:rsidP="00393113">
            <w:pPr>
              <w:jc w:val="both"/>
              <w:rPr>
                <w:sz w:val="20"/>
              </w:rPr>
            </w:pPr>
            <w:r w:rsidRPr="004A58A8">
              <w:rPr>
                <w:sz w:val="20"/>
              </w:rPr>
              <w:t>C/I</w:t>
            </w:r>
          </w:p>
        </w:tc>
      </w:tr>
      <w:tr w:rsidR="00F977A3" w:rsidRPr="004A58A8" w14:paraId="48CD620B" w14:textId="77777777" w:rsidTr="00393113">
        <w:trPr>
          <w:trHeight w:val="153"/>
        </w:trPr>
        <w:tc>
          <w:tcPr>
            <w:tcW w:w="3652" w:type="dxa"/>
            <w:shd w:val="clear" w:color="auto" w:fill="auto"/>
          </w:tcPr>
          <w:p w14:paraId="2E926D0B" w14:textId="77777777" w:rsidR="00F977A3" w:rsidRPr="004A58A8" w:rsidRDefault="00F977A3" w:rsidP="00393113">
            <w:pPr>
              <w:jc w:val="both"/>
              <w:rPr>
                <w:sz w:val="20"/>
              </w:rPr>
            </w:pPr>
            <w:r w:rsidRPr="004A58A8">
              <w:rPr>
                <w:sz w:val="20"/>
              </w:rPr>
              <w:t>Avaliar Riscos e Impactos</w:t>
            </w:r>
          </w:p>
        </w:tc>
        <w:tc>
          <w:tcPr>
            <w:tcW w:w="851" w:type="dxa"/>
            <w:shd w:val="clear" w:color="auto" w:fill="auto"/>
          </w:tcPr>
          <w:p w14:paraId="426DF9AA" w14:textId="77777777" w:rsidR="00F977A3" w:rsidRPr="004A58A8" w:rsidRDefault="00F977A3" w:rsidP="00393113">
            <w:pPr>
              <w:jc w:val="both"/>
              <w:rPr>
                <w:sz w:val="20"/>
              </w:rPr>
            </w:pPr>
            <w:r w:rsidRPr="004A58A8">
              <w:rPr>
                <w:sz w:val="20"/>
              </w:rPr>
              <w:t>C/I</w:t>
            </w:r>
          </w:p>
        </w:tc>
        <w:tc>
          <w:tcPr>
            <w:tcW w:w="567" w:type="dxa"/>
            <w:shd w:val="clear" w:color="auto" w:fill="auto"/>
          </w:tcPr>
          <w:p w14:paraId="100FD138" w14:textId="77777777" w:rsidR="00F977A3" w:rsidRPr="004A58A8" w:rsidRDefault="00F977A3" w:rsidP="00393113">
            <w:pPr>
              <w:jc w:val="both"/>
              <w:rPr>
                <w:sz w:val="20"/>
              </w:rPr>
            </w:pPr>
            <w:r w:rsidRPr="004A58A8">
              <w:rPr>
                <w:sz w:val="20"/>
              </w:rPr>
              <w:t>C/I</w:t>
            </w:r>
          </w:p>
        </w:tc>
        <w:tc>
          <w:tcPr>
            <w:tcW w:w="850" w:type="dxa"/>
            <w:shd w:val="clear" w:color="auto" w:fill="auto"/>
          </w:tcPr>
          <w:p w14:paraId="49D9F862" w14:textId="77777777" w:rsidR="00F977A3" w:rsidRPr="004A58A8" w:rsidRDefault="00F977A3" w:rsidP="00393113">
            <w:pPr>
              <w:jc w:val="both"/>
              <w:rPr>
                <w:sz w:val="20"/>
              </w:rPr>
            </w:pPr>
            <w:r w:rsidRPr="004A58A8">
              <w:rPr>
                <w:sz w:val="20"/>
              </w:rPr>
              <w:t>R/C</w:t>
            </w:r>
          </w:p>
        </w:tc>
        <w:tc>
          <w:tcPr>
            <w:tcW w:w="992" w:type="dxa"/>
            <w:shd w:val="clear" w:color="auto" w:fill="auto"/>
          </w:tcPr>
          <w:p w14:paraId="4A1A936E" w14:textId="77777777" w:rsidR="00F977A3" w:rsidRPr="004A58A8" w:rsidRDefault="00F977A3" w:rsidP="00393113">
            <w:pPr>
              <w:jc w:val="both"/>
              <w:rPr>
                <w:sz w:val="20"/>
              </w:rPr>
            </w:pPr>
            <w:r w:rsidRPr="004A58A8">
              <w:rPr>
                <w:sz w:val="20"/>
              </w:rPr>
              <w:t>A/R</w:t>
            </w:r>
          </w:p>
        </w:tc>
        <w:tc>
          <w:tcPr>
            <w:tcW w:w="1276" w:type="dxa"/>
            <w:shd w:val="clear" w:color="auto" w:fill="auto"/>
          </w:tcPr>
          <w:p w14:paraId="7896B5E7" w14:textId="77777777" w:rsidR="00F977A3" w:rsidRPr="004A58A8" w:rsidRDefault="00F977A3" w:rsidP="00393113">
            <w:pPr>
              <w:jc w:val="both"/>
              <w:rPr>
                <w:sz w:val="20"/>
              </w:rPr>
            </w:pPr>
            <w:r w:rsidRPr="004A58A8">
              <w:rPr>
                <w:sz w:val="20"/>
              </w:rPr>
              <w:t>C/I</w:t>
            </w:r>
          </w:p>
        </w:tc>
      </w:tr>
      <w:tr w:rsidR="00F977A3" w:rsidRPr="004A58A8" w14:paraId="10C31E5B" w14:textId="77777777" w:rsidTr="00393113">
        <w:trPr>
          <w:trHeight w:val="160"/>
        </w:trPr>
        <w:tc>
          <w:tcPr>
            <w:tcW w:w="3652" w:type="dxa"/>
            <w:shd w:val="clear" w:color="auto" w:fill="auto"/>
          </w:tcPr>
          <w:p w14:paraId="0A37150B" w14:textId="77777777" w:rsidR="00F977A3" w:rsidRPr="004A58A8" w:rsidRDefault="00F977A3" w:rsidP="00393113">
            <w:pPr>
              <w:jc w:val="both"/>
              <w:rPr>
                <w:sz w:val="20"/>
              </w:rPr>
            </w:pPr>
            <w:r w:rsidRPr="004A58A8">
              <w:rPr>
                <w:sz w:val="20"/>
              </w:rPr>
              <w:t>Atualizar a ferramenta</w:t>
            </w:r>
          </w:p>
        </w:tc>
        <w:tc>
          <w:tcPr>
            <w:tcW w:w="851" w:type="dxa"/>
            <w:shd w:val="clear" w:color="auto" w:fill="auto"/>
          </w:tcPr>
          <w:p w14:paraId="7E2F00B0" w14:textId="77777777" w:rsidR="00F977A3" w:rsidRPr="004A58A8" w:rsidRDefault="00F977A3" w:rsidP="00393113">
            <w:pPr>
              <w:jc w:val="both"/>
              <w:rPr>
                <w:sz w:val="20"/>
              </w:rPr>
            </w:pPr>
            <w:r w:rsidRPr="004A58A8">
              <w:rPr>
                <w:sz w:val="20"/>
              </w:rPr>
              <w:t>C/I</w:t>
            </w:r>
          </w:p>
        </w:tc>
        <w:tc>
          <w:tcPr>
            <w:tcW w:w="567" w:type="dxa"/>
            <w:shd w:val="clear" w:color="auto" w:fill="auto"/>
          </w:tcPr>
          <w:p w14:paraId="6C3A5AE4" w14:textId="77777777" w:rsidR="00F977A3" w:rsidRPr="004A58A8" w:rsidRDefault="00F977A3" w:rsidP="00393113">
            <w:pPr>
              <w:jc w:val="both"/>
              <w:rPr>
                <w:sz w:val="20"/>
              </w:rPr>
            </w:pPr>
            <w:r w:rsidRPr="004A58A8">
              <w:rPr>
                <w:sz w:val="20"/>
              </w:rPr>
              <w:t>C/I</w:t>
            </w:r>
          </w:p>
        </w:tc>
        <w:tc>
          <w:tcPr>
            <w:tcW w:w="850" w:type="dxa"/>
            <w:shd w:val="clear" w:color="auto" w:fill="auto"/>
          </w:tcPr>
          <w:p w14:paraId="15BDDFE1" w14:textId="77777777" w:rsidR="00F977A3" w:rsidRPr="004A58A8" w:rsidRDefault="00F977A3" w:rsidP="00393113">
            <w:pPr>
              <w:jc w:val="both"/>
              <w:rPr>
                <w:sz w:val="20"/>
              </w:rPr>
            </w:pPr>
            <w:r w:rsidRPr="004A58A8">
              <w:rPr>
                <w:sz w:val="20"/>
              </w:rPr>
              <w:t>C/I</w:t>
            </w:r>
          </w:p>
        </w:tc>
        <w:tc>
          <w:tcPr>
            <w:tcW w:w="992" w:type="dxa"/>
            <w:shd w:val="clear" w:color="auto" w:fill="auto"/>
          </w:tcPr>
          <w:p w14:paraId="304288BD" w14:textId="77777777" w:rsidR="00F977A3" w:rsidRPr="004A58A8" w:rsidRDefault="00F977A3" w:rsidP="00393113">
            <w:pPr>
              <w:jc w:val="both"/>
              <w:rPr>
                <w:sz w:val="20"/>
              </w:rPr>
            </w:pPr>
            <w:r w:rsidRPr="004A58A8">
              <w:rPr>
                <w:sz w:val="20"/>
              </w:rPr>
              <w:t>A/R</w:t>
            </w:r>
          </w:p>
        </w:tc>
        <w:tc>
          <w:tcPr>
            <w:tcW w:w="1276" w:type="dxa"/>
            <w:shd w:val="clear" w:color="auto" w:fill="auto"/>
          </w:tcPr>
          <w:p w14:paraId="038497E0" w14:textId="77777777" w:rsidR="00F977A3" w:rsidRPr="004A58A8" w:rsidRDefault="00F977A3" w:rsidP="00393113">
            <w:pPr>
              <w:jc w:val="both"/>
              <w:rPr>
                <w:sz w:val="20"/>
              </w:rPr>
            </w:pPr>
            <w:r w:rsidRPr="004A58A8">
              <w:rPr>
                <w:sz w:val="20"/>
              </w:rPr>
              <w:t>C/I</w:t>
            </w:r>
          </w:p>
        </w:tc>
      </w:tr>
      <w:tr w:rsidR="00F977A3" w:rsidRPr="004A58A8" w14:paraId="6A8C8DD3" w14:textId="77777777" w:rsidTr="00393113">
        <w:tc>
          <w:tcPr>
            <w:tcW w:w="3652" w:type="dxa"/>
            <w:shd w:val="clear" w:color="auto" w:fill="auto"/>
          </w:tcPr>
          <w:p w14:paraId="28704275" w14:textId="77777777" w:rsidR="00F977A3" w:rsidRPr="004A58A8" w:rsidRDefault="00F977A3" w:rsidP="00393113">
            <w:pPr>
              <w:jc w:val="both"/>
              <w:rPr>
                <w:sz w:val="20"/>
              </w:rPr>
            </w:pPr>
            <w:r w:rsidRPr="004A58A8">
              <w:rPr>
                <w:sz w:val="20"/>
              </w:rPr>
              <w:t>Aprovar ou recusar uma mudança</w:t>
            </w:r>
          </w:p>
        </w:tc>
        <w:tc>
          <w:tcPr>
            <w:tcW w:w="851" w:type="dxa"/>
            <w:shd w:val="clear" w:color="auto" w:fill="auto"/>
          </w:tcPr>
          <w:p w14:paraId="75B23B39" w14:textId="77777777" w:rsidR="00F977A3" w:rsidRPr="004A58A8" w:rsidRDefault="00F977A3" w:rsidP="00393113">
            <w:pPr>
              <w:jc w:val="both"/>
              <w:rPr>
                <w:sz w:val="20"/>
              </w:rPr>
            </w:pPr>
            <w:r w:rsidRPr="004A58A8">
              <w:rPr>
                <w:sz w:val="20"/>
              </w:rPr>
              <w:t>C/I</w:t>
            </w:r>
          </w:p>
        </w:tc>
        <w:tc>
          <w:tcPr>
            <w:tcW w:w="567" w:type="dxa"/>
            <w:shd w:val="clear" w:color="auto" w:fill="auto"/>
          </w:tcPr>
          <w:p w14:paraId="5196E6CD" w14:textId="77777777" w:rsidR="00F977A3" w:rsidRPr="004A58A8" w:rsidRDefault="00F977A3" w:rsidP="00393113">
            <w:pPr>
              <w:jc w:val="both"/>
              <w:rPr>
                <w:sz w:val="20"/>
              </w:rPr>
            </w:pPr>
            <w:r w:rsidRPr="004A58A8">
              <w:rPr>
                <w:sz w:val="20"/>
              </w:rPr>
              <w:t>C/I</w:t>
            </w:r>
          </w:p>
        </w:tc>
        <w:tc>
          <w:tcPr>
            <w:tcW w:w="850" w:type="dxa"/>
            <w:shd w:val="clear" w:color="auto" w:fill="auto"/>
          </w:tcPr>
          <w:p w14:paraId="2521324C" w14:textId="77777777" w:rsidR="00F977A3" w:rsidRPr="004A58A8" w:rsidRDefault="00F977A3" w:rsidP="00393113">
            <w:pPr>
              <w:jc w:val="both"/>
              <w:rPr>
                <w:sz w:val="20"/>
              </w:rPr>
            </w:pPr>
            <w:r w:rsidRPr="004A58A8">
              <w:rPr>
                <w:sz w:val="20"/>
              </w:rPr>
              <w:t>C/I</w:t>
            </w:r>
          </w:p>
        </w:tc>
        <w:tc>
          <w:tcPr>
            <w:tcW w:w="992" w:type="dxa"/>
            <w:shd w:val="clear" w:color="auto" w:fill="auto"/>
          </w:tcPr>
          <w:p w14:paraId="05934FB3" w14:textId="77777777" w:rsidR="00F977A3" w:rsidRPr="004A58A8" w:rsidRDefault="00F977A3" w:rsidP="00393113">
            <w:pPr>
              <w:jc w:val="both"/>
              <w:rPr>
                <w:sz w:val="20"/>
              </w:rPr>
            </w:pPr>
            <w:r w:rsidRPr="004A58A8">
              <w:rPr>
                <w:sz w:val="20"/>
              </w:rPr>
              <w:t>R/C/I</w:t>
            </w:r>
          </w:p>
        </w:tc>
        <w:tc>
          <w:tcPr>
            <w:tcW w:w="1276" w:type="dxa"/>
            <w:shd w:val="clear" w:color="auto" w:fill="auto"/>
          </w:tcPr>
          <w:p w14:paraId="7F654171" w14:textId="77777777" w:rsidR="00F977A3" w:rsidRPr="004A58A8" w:rsidRDefault="00F977A3" w:rsidP="00393113">
            <w:pPr>
              <w:jc w:val="both"/>
              <w:rPr>
                <w:sz w:val="20"/>
              </w:rPr>
            </w:pPr>
            <w:r w:rsidRPr="004A58A8">
              <w:rPr>
                <w:sz w:val="20"/>
              </w:rPr>
              <w:t>A</w:t>
            </w:r>
          </w:p>
        </w:tc>
      </w:tr>
      <w:tr w:rsidR="00F977A3" w:rsidRPr="004A58A8" w14:paraId="288BCD12" w14:textId="77777777" w:rsidTr="00393113">
        <w:trPr>
          <w:trHeight w:val="63"/>
        </w:trPr>
        <w:tc>
          <w:tcPr>
            <w:tcW w:w="3652" w:type="dxa"/>
            <w:shd w:val="clear" w:color="auto" w:fill="auto"/>
          </w:tcPr>
          <w:p w14:paraId="2D29C892" w14:textId="77777777" w:rsidR="00F977A3" w:rsidRPr="004A58A8" w:rsidRDefault="00F977A3" w:rsidP="00393113">
            <w:pPr>
              <w:jc w:val="both"/>
              <w:rPr>
                <w:sz w:val="20"/>
              </w:rPr>
            </w:pPr>
            <w:r w:rsidRPr="004A58A8">
              <w:rPr>
                <w:sz w:val="20"/>
              </w:rPr>
              <w:t>Iniciar o fluxo de mudança na ferramenta</w:t>
            </w:r>
          </w:p>
        </w:tc>
        <w:tc>
          <w:tcPr>
            <w:tcW w:w="851" w:type="dxa"/>
            <w:shd w:val="clear" w:color="auto" w:fill="auto"/>
          </w:tcPr>
          <w:p w14:paraId="3700589D" w14:textId="77777777" w:rsidR="00F977A3" w:rsidRPr="004A58A8" w:rsidRDefault="00F977A3" w:rsidP="00393113">
            <w:pPr>
              <w:jc w:val="both"/>
              <w:rPr>
                <w:sz w:val="20"/>
              </w:rPr>
            </w:pPr>
            <w:r w:rsidRPr="004A58A8">
              <w:rPr>
                <w:sz w:val="20"/>
              </w:rPr>
              <w:t>C/I</w:t>
            </w:r>
          </w:p>
        </w:tc>
        <w:tc>
          <w:tcPr>
            <w:tcW w:w="567" w:type="dxa"/>
            <w:shd w:val="clear" w:color="auto" w:fill="auto"/>
          </w:tcPr>
          <w:p w14:paraId="23545521" w14:textId="77777777" w:rsidR="00F977A3" w:rsidRPr="004A58A8" w:rsidRDefault="00F977A3" w:rsidP="00393113">
            <w:pPr>
              <w:jc w:val="both"/>
              <w:rPr>
                <w:sz w:val="20"/>
              </w:rPr>
            </w:pPr>
            <w:r w:rsidRPr="004A58A8">
              <w:rPr>
                <w:sz w:val="20"/>
              </w:rPr>
              <w:t>C/I</w:t>
            </w:r>
          </w:p>
        </w:tc>
        <w:tc>
          <w:tcPr>
            <w:tcW w:w="850" w:type="dxa"/>
            <w:shd w:val="clear" w:color="auto" w:fill="auto"/>
          </w:tcPr>
          <w:p w14:paraId="7552A183" w14:textId="77777777" w:rsidR="00F977A3" w:rsidRPr="004A58A8" w:rsidRDefault="00F977A3" w:rsidP="00393113">
            <w:pPr>
              <w:jc w:val="both"/>
              <w:rPr>
                <w:sz w:val="20"/>
              </w:rPr>
            </w:pPr>
            <w:r w:rsidRPr="004A58A8">
              <w:rPr>
                <w:sz w:val="20"/>
              </w:rPr>
              <w:t>R</w:t>
            </w:r>
          </w:p>
        </w:tc>
        <w:tc>
          <w:tcPr>
            <w:tcW w:w="992" w:type="dxa"/>
            <w:shd w:val="clear" w:color="auto" w:fill="auto"/>
          </w:tcPr>
          <w:p w14:paraId="7E0B0636" w14:textId="77777777" w:rsidR="00F977A3" w:rsidRPr="004A58A8" w:rsidRDefault="00F977A3" w:rsidP="00393113">
            <w:pPr>
              <w:jc w:val="both"/>
              <w:rPr>
                <w:sz w:val="20"/>
              </w:rPr>
            </w:pPr>
            <w:r w:rsidRPr="004A58A8">
              <w:rPr>
                <w:sz w:val="20"/>
              </w:rPr>
              <w:t>A</w:t>
            </w:r>
          </w:p>
        </w:tc>
        <w:tc>
          <w:tcPr>
            <w:tcW w:w="1276" w:type="dxa"/>
            <w:shd w:val="clear" w:color="auto" w:fill="auto"/>
          </w:tcPr>
          <w:p w14:paraId="07FA4DEA" w14:textId="77777777" w:rsidR="00F977A3" w:rsidRPr="004A58A8" w:rsidRDefault="00F977A3" w:rsidP="00393113">
            <w:pPr>
              <w:jc w:val="both"/>
              <w:rPr>
                <w:sz w:val="20"/>
              </w:rPr>
            </w:pPr>
            <w:r w:rsidRPr="004A58A8">
              <w:rPr>
                <w:sz w:val="20"/>
              </w:rPr>
              <w:t>C/I</w:t>
            </w:r>
          </w:p>
        </w:tc>
      </w:tr>
    </w:tbl>
    <w:p w14:paraId="1646F4D2" w14:textId="77777777" w:rsidR="00F977A3" w:rsidRDefault="00F977A3" w:rsidP="00F977A3">
      <w:pPr>
        <w:jc w:val="both"/>
        <w:rPr>
          <w:b/>
          <w:sz w:val="20"/>
        </w:rPr>
      </w:pPr>
      <w:r w:rsidRPr="004A58A8">
        <w:rPr>
          <w:b/>
          <w:sz w:val="20"/>
        </w:rPr>
        <w:t>Quadro 2: Matriz RACI de Gestão de Mudanças</w:t>
      </w:r>
    </w:p>
    <w:p w14:paraId="3B2AE87E" w14:textId="77777777" w:rsidR="00F977A3" w:rsidRDefault="00F977A3" w:rsidP="00F977A3">
      <w:pPr>
        <w:jc w:val="both"/>
        <w:rPr>
          <w:sz w:val="20"/>
        </w:rPr>
      </w:pPr>
      <w:r w:rsidRPr="004A58A8">
        <w:rPr>
          <w:sz w:val="20"/>
        </w:rPr>
        <w:t xml:space="preserve">Fonte: </w:t>
      </w:r>
      <w:r>
        <w:rPr>
          <w:sz w:val="20"/>
        </w:rPr>
        <w:t>Elaborado pelos autores</w:t>
      </w:r>
    </w:p>
    <w:p w14:paraId="7825F932" w14:textId="77777777" w:rsidR="00F977A3" w:rsidRDefault="00F977A3" w:rsidP="00F977A3">
      <w:pPr>
        <w:jc w:val="both"/>
        <w:rPr>
          <w:sz w:val="20"/>
        </w:rPr>
      </w:pPr>
      <w:r w:rsidRPr="004A58A8">
        <w:rPr>
          <w:sz w:val="20"/>
        </w:rPr>
        <w:t>R= responsável, A=aprovador, C=consultado, I=informado</w:t>
      </w:r>
    </w:p>
    <w:p w14:paraId="63D5E1AE" w14:textId="77777777" w:rsidR="00F977A3" w:rsidRPr="004A58A8" w:rsidRDefault="00F977A3" w:rsidP="00F977A3">
      <w:pPr>
        <w:jc w:val="both"/>
        <w:rPr>
          <w:sz w:val="20"/>
        </w:rPr>
      </w:pPr>
    </w:p>
    <w:p w14:paraId="1F3FCD6B" w14:textId="77777777" w:rsidR="00F977A3" w:rsidRPr="00846DD9" w:rsidRDefault="00F977A3" w:rsidP="00F977A3">
      <w:pPr>
        <w:ind w:firstLine="426"/>
        <w:jc w:val="both"/>
      </w:pPr>
      <w:r w:rsidRPr="00846DD9">
        <w:t>As normas da Gestão de Mudanças classificam as mudanças quanto ao seu planejamento: I)</w:t>
      </w:r>
      <w:r>
        <w:t xml:space="preserve"> </w:t>
      </w:r>
      <w:r w:rsidRPr="00846DD9">
        <w:t xml:space="preserve">planejadas, seguem o fluxo solicitação padrão e são implementadas dentro da janela de manutenção pré-estabelecida e acordada entre as equipes envolvidas; II) não planejadas, não seguem o fluxo normal de abertura e execução e são realizadas em determinadas circunstâncias, sendo estas: atendimento a órgãos reguladores, em casos que a imagem da empresa possa ser comprometida, perda de benefícios ou receitas ou  atividades não previstas de uma mudança previamente planejada. Nos casos das mudanças não planejadas, o fluxo de aprovação se diferencia e é necessária a aprovação de ambas as gerências, a demandante e a executora. Além da classificação das mudanças de acordo com o planejamento, as mudanças também são classificadas quanto ao seu tipo: infraestrutura ou aplicação. </w:t>
      </w:r>
    </w:p>
    <w:p w14:paraId="6DB8495A" w14:textId="77777777" w:rsidR="00F977A3" w:rsidRDefault="00F977A3" w:rsidP="00F977A3">
      <w:pPr>
        <w:ind w:firstLine="426"/>
        <w:jc w:val="both"/>
      </w:pPr>
    </w:p>
    <w:p w14:paraId="51E2E679" w14:textId="77777777" w:rsidR="00F977A3" w:rsidRDefault="00F977A3" w:rsidP="00F977A3">
      <w:pPr>
        <w:ind w:firstLine="426"/>
        <w:jc w:val="both"/>
      </w:pPr>
    </w:p>
    <w:p w14:paraId="08B095A3" w14:textId="77777777" w:rsidR="00F977A3" w:rsidRPr="00846DD9" w:rsidRDefault="00F977A3" w:rsidP="00F977A3">
      <w:pPr>
        <w:ind w:firstLine="426"/>
        <w:jc w:val="both"/>
      </w:pPr>
      <w:r w:rsidRPr="00846DD9">
        <w:t>Conforme mencionado previamente, as mudanças seguem um fluxo com datas específicas para envio, abertura, execução, tratamento e aprovação. Trata-se de um calendário que foi previamente estabelecido e acordado com os envolvidos. Qualquer atividade que fuja à janela deve ser tratada como anomalia ao processo, caso não se adeque às mudanças não planejadas.</w:t>
      </w:r>
      <w:r>
        <w:t xml:space="preserve"> </w:t>
      </w:r>
      <w:r w:rsidRPr="00846DD9">
        <w:t xml:space="preserve">A avaliação de impacto e risco é realizada pela equipe de mudanças, demandantes, equipes executoras e áreas de negócios e, por fim, pelos aprovadores responsáveis. A análise do risco considera a complexidade da execução da mudança e dos planos de contorno, bem como a disponibilidade de um ambiente contingencial. </w:t>
      </w:r>
    </w:p>
    <w:p w14:paraId="79695458" w14:textId="77777777" w:rsidR="00F977A3" w:rsidRPr="00846DD9" w:rsidRDefault="00F977A3" w:rsidP="00F977A3">
      <w:pPr>
        <w:ind w:firstLine="426"/>
        <w:jc w:val="both"/>
      </w:pPr>
      <w:r w:rsidRPr="00846DD9">
        <w:t>Os processos de gestão de mudanças apontam as etapas sequenciais e necessárias da gestão que consistem em: 1º)</w:t>
      </w:r>
      <w:r>
        <w:t xml:space="preserve"> </w:t>
      </w:r>
      <w:r w:rsidRPr="00846DD9">
        <w:t>início do registro; 2º)</w:t>
      </w:r>
      <w:r>
        <w:t xml:space="preserve"> </w:t>
      </w:r>
      <w:r w:rsidRPr="00846DD9">
        <w:t>planejamento e agendamento; 3º)</w:t>
      </w:r>
      <w:r>
        <w:t xml:space="preserve"> </w:t>
      </w:r>
      <w:r w:rsidRPr="00846DD9">
        <w:t>revisão e autorização; 4º)</w:t>
      </w:r>
      <w:r>
        <w:t xml:space="preserve"> </w:t>
      </w:r>
      <w:r w:rsidRPr="00846DD9">
        <w:t>implementação; 5º)</w:t>
      </w:r>
      <w:r>
        <w:t xml:space="preserve"> </w:t>
      </w:r>
      <w:r w:rsidRPr="00846DD9">
        <w:t xml:space="preserve">fechamento. Cada etapa exige atividades distintas e atualização de ferramental de gestão. O procedimento detalha todas as ações que o gerente de mudanças deva executar para o gerenciamento eficaz, ou seja, trata-se de um passo a passo que auxilia o manuseio do processo como um todo e o manuseio do </w:t>
      </w:r>
      <w:proofErr w:type="spellStart"/>
      <w:r w:rsidRPr="00846DD9">
        <w:t>Remedy</w:t>
      </w:r>
      <w:proofErr w:type="spellEnd"/>
      <w:r w:rsidRPr="00846DD9">
        <w:t>.</w:t>
      </w:r>
    </w:p>
    <w:p w14:paraId="58D5B4C5" w14:textId="77777777" w:rsidR="00F977A3" w:rsidRPr="00846DD9" w:rsidRDefault="00F977A3" w:rsidP="00F977A3">
      <w:pPr>
        <w:ind w:firstLine="426"/>
        <w:jc w:val="both"/>
      </w:pPr>
      <w:r w:rsidRPr="00846DD9">
        <w:t xml:space="preserve">Para que o gestor de mudanças tenha maior confiança na execução de todos os procedimentos, foi desenvolvido um </w:t>
      </w:r>
      <w:proofErr w:type="spellStart"/>
      <w:r w:rsidRPr="00846DD9">
        <w:t>checklist</w:t>
      </w:r>
      <w:proofErr w:type="spellEnd"/>
      <w:r w:rsidRPr="00846DD9">
        <w:t xml:space="preserve"> de todo o ciclo de vida da mudança, composto por 20 itens. O processo prevê o envio de relatórios semanais aos usuários dos ambientes não produtivos com informações de todas</w:t>
      </w:r>
      <w:r>
        <w:t xml:space="preserve"> as</w:t>
      </w:r>
      <w:r w:rsidRPr="00846DD9">
        <w:t xml:space="preserve"> alterações realizadas nos ambientes e</w:t>
      </w:r>
      <w:r>
        <w:t xml:space="preserve"> as</w:t>
      </w:r>
      <w:r w:rsidRPr="00846DD9">
        <w:t xml:space="preserve"> mudanças previstas. Também são enviados relatórios mensais de atendimento que contemplam informações sobre categorização, quantidade, demandantes, tipificação, tempo desprendido no tratamento, comparativo trienal e anual.</w:t>
      </w:r>
    </w:p>
    <w:p w14:paraId="1984CCB3" w14:textId="77777777" w:rsidR="00F977A3" w:rsidRPr="00846DD9" w:rsidRDefault="00F977A3" w:rsidP="00F977A3">
      <w:pPr>
        <w:jc w:val="both"/>
      </w:pPr>
    </w:p>
    <w:p w14:paraId="16ADAE6B" w14:textId="77777777" w:rsidR="00F977A3" w:rsidRPr="00846DD9" w:rsidRDefault="00F977A3" w:rsidP="00F977A3">
      <w:pPr>
        <w:pStyle w:val="ListParagraph"/>
        <w:numPr>
          <w:ilvl w:val="0"/>
          <w:numId w:val="1"/>
        </w:numPr>
        <w:contextualSpacing/>
        <w:jc w:val="both"/>
        <w:rPr>
          <w:b/>
        </w:rPr>
      </w:pPr>
      <w:r w:rsidRPr="00846DD9">
        <w:rPr>
          <w:b/>
        </w:rPr>
        <w:t xml:space="preserve">RESULTADOS OBTIDOS E ANÁLISE </w:t>
      </w:r>
    </w:p>
    <w:p w14:paraId="20090BF9" w14:textId="77777777" w:rsidR="00F977A3" w:rsidRPr="00846DD9" w:rsidRDefault="00F977A3" w:rsidP="00F977A3">
      <w:pPr>
        <w:jc w:val="both"/>
      </w:pPr>
    </w:p>
    <w:p w14:paraId="161D25C7" w14:textId="77777777" w:rsidR="00F977A3" w:rsidRPr="00846DD9" w:rsidRDefault="00F977A3" w:rsidP="00F977A3">
      <w:pPr>
        <w:ind w:firstLine="426"/>
        <w:jc w:val="both"/>
      </w:pPr>
      <w:r w:rsidRPr="00846DD9">
        <w:t>Antes da implementação do processo de gerenciamento de mudanças a Alpha tinha, em 2013, 1500 mudanças nos ambientes não produção. Em 2014, a Alpha terminou com 833 mudanças, uma redução de aproximadamente 45% na quantidade de mudanças. Até maio de 2015, contava com 249 mudanças e a tendência é que termine seu ano com a quantidade equiparada ao ano de 2014.</w:t>
      </w:r>
      <w:r>
        <w:t xml:space="preserve"> </w:t>
      </w:r>
      <w:r w:rsidRPr="00846DD9">
        <w:t>A saliente redução na quantidade de mudanças evidencia um filtro na autorização e nos processos de mudança, o que proporcionou que apenas as mudanças necessárias fossem implementadas. Todas as demandas são avaliadas, tratadas e caso atendam aos critérios são aprovadas.</w:t>
      </w:r>
    </w:p>
    <w:p w14:paraId="773F005B" w14:textId="77777777" w:rsidR="00F977A3" w:rsidRDefault="00F977A3" w:rsidP="00F977A3">
      <w:pPr>
        <w:ind w:firstLine="426"/>
        <w:jc w:val="both"/>
      </w:pPr>
      <w:r w:rsidRPr="00846DD9">
        <w:t>Das 833 mudanças realizadas em 2014, apenas 10% foram não planejadas, apontando a alta aderência aos processos de gestão de mudanças e apontando a confiabilidade nos processos. O grau de adesão às mudanças planejadas ainda indica que as equipes foram conscientizadas das políticas e normas pertinentes à gestão de mudanças, fazendo com que 90% das mudanças seguissem o fluxo comum de entrada, tratativa, planejamento, aprovação e execução.</w:t>
      </w:r>
    </w:p>
    <w:p w14:paraId="46FDA4AF" w14:textId="77777777" w:rsidR="00F977A3" w:rsidRPr="00846DD9" w:rsidRDefault="00F977A3" w:rsidP="00F977A3">
      <w:pPr>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54"/>
      </w:tblGrid>
      <w:tr w:rsidR="00F977A3" w:rsidRPr="00DB4CB0" w14:paraId="301D8B8B" w14:textId="77777777" w:rsidTr="00393113">
        <w:tc>
          <w:tcPr>
            <w:tcW w:w="1526" w:type="dxa"/>
            <w:shd w:val="clear" w:color="auto" w:fill="auto"/>
          </w:tcPr>
          <w:p w14:paraId="0BA3B0B5" w14:textId="77777777" w:rsidR="00F977A3" w:rsidRPr="00E40182" w:rsidRDefault="00F977A3" w:rsidP="00393113">
            <w:pPr>
              <w:jc w:val="both"/>
              <w:rPr>
                <w:sz w:val="20"/>
                <w:szCs w:val="20"/>
              </w:rPr>
            </w:pPr>
            <w:r w:rsidRPr="00E40182">
              <w:rPr>
                <w:sz w:val="20"/>
                <w:szCs w:val="20"/>
              </w:rPr>
              <w:t>Entrevistados</w:t>
            </w:r>
          </w:p>
        </w:tc>
        <w:tc>
          <w:tcPr>
            <w:tcW w:w="7654" w:type="dxa"/>
            <w:shd w:val="clear" w:color="auto" w:fill="auto"/>
          </w:tcPr>
          <w:p w14:paraId="21BECF25" w14:textId="77777777" w:rsidR="00F977A3" w:rsidRPr="00E40182" w:rsidRDefault="00F977A3" w:rsidP="00393113">
            <w:pPr>
              <w:jc w:val="both"/>
              <w:rPr>
                <w:sz w:val="20"/>
                <w:szCs w:val="20"/>
              </w:rPr>
            </w:pPr>
            <w:r w:rsidRPr="00E40182">
              <w:rPr>
                <w:sz w:val="20"/>
                <w:szCs w:val="20"/>
              </w:rPr>
              <w:t>Pontos Importantes</w:t>
            </w:r>
          </w:p>
        </w:tc>
      </w:tr>
      <w:tr w:rsidR="00F977A3" w:rsidRPr="00DB4CB0" w14:paraId="1864329D" w14:textId="77777777" w:rsidTr="00393113">
        <w:trPr>
          <w:trHeight w:val="538"/>
        </w:trPr>
        <w:tc>
          <w:tcPr>
            <w:tcW w:w="1526" w:type="dxa"/>
            <w:shd w:val="clear" w:color="auto" w:fill="auto"/>
          </w:tcPr>
          <w:p w14:paraId="787F29CF" w14:textId="77777777" w:rsidR="00F977A3" w:rsidRPr="00E40182" w:rsidRDefault="00F977A3" w:rsidP="00393113">
            <w:pPr>
              <w:jc w:val="both"/>
              <w:rPr>
                <w:sz w:val="20"/>
                <w:szCs w:val="20"/>
              </w:rPr>
            </w:pPr>
            <w:r w:rsidRPr="00E40182">
              <w:rPr>
                <w:sz w:val="20"/>
                <w:szCs w:val="20"/>
              </w:rPr>
              <w:t>E1</w:t>
            </w:r>
          </w:p>
        </w:tc>
        <w:tc>
          <w:tcPr>
            <w:tcW w:w="7654" w:type="dxa"/>
            <w:shd w:val="clear" w:color="auto" w:fill="auto"/>
          </w:tcPr>
          <w:p w14:paraId="4173F3FE" w14:textId="77777777" w:rsidR="00F977A3" w:rsidRPr="00E40182" w:rsidRDefault="00F977A3" w:rsidP="00393113">
            <w:pPr>
              <w:jc w:val="both"/>
              <w:rPr>
                <w:sz w:val="20"/>
                <w:szCs w:val="20"/>
              </w:rPr>
            </w:pPr>
            <w:r w:rsidRPr="00E40182">
              <w:rPr>
                <w:sz w:val="20"/>
                <w:szCs w:val="20"/>
              </w:rPr>
              <w:t>Não consegue se imaginar sem o processo de mudanças, acredita que o processo proporcionou integração entre as áreas evitando retrabalho. Relata que os ambientes não produtivos deixaram de ser vistos no segundo plano e proporcionou reconhecimento. Os ambientes não produtivos deixaram de ser conhecidos como indisponíveis e trouxeram maturidade na governança de TI.</w:t>
            </w:r>
          </w:p>
        </w:tc>
      </w:tr>
      <w:tr w:rsidR="00F977A3" w:rsidRPr="00DB4CB0" w14:paraId="2F5E1D39" w14:textId="77777777" w:rsidTr="00393113">
        <w:tc>
          <w:tcPr>
            <w:tcW w:w="1526" w:type="dxa"/>
            <w:shd w:val="clear" w:color="auto" w:fill="auto"/>
          </w:tcPr>
          <w:p w14:paraId="56F6749F" w14:textId="77777777" w:rsidR="00F977A3" w:rsidRPr="00E40182" w:rsidRDefault="00F977A3" w:rsidP="00393113">
            <w:pPr>
              <w:jc w:val="both"/>
              <w:rPr>
                <w:sz w:val="20"/>
                <w:szCs w:val="20"/>
              </w:rPr>
            </w:pPr>
            <w:r w:rsidRPr="00E40182">
              <w:rPr>
                <w:sz w:val="20"/>
                <w:szCs w:val="20"/>
              </w:rPr>
              <w:t>E2</w:t>
            </w:r>
          </w:p>
        </w:tc>
        <w:tc>
          <w:tcPr>
            <w:tcW w:w="7654" w:type="dxa"/>
            <w:shd w:val="clear" w:color="auto" w:fill="auto"/>
          </w:tcPr>
          <w:p w14:paraId="47E4CB75" w14:textId="77777777" w:rsidR="00F977A3" w:rsidRPr="00E40182" w:rsidRDefault="00F977A3" w:rsidP="00393113">
            <w:pPr>
              <w:jc w:val="both"/>
              <w:rPr>
                <w:sz w:val="20"/>
                <w:szCs w:val="20"/>
              </w:rPr>
            </w:pPr>
            <w:r w:rsidRPr="00E40182">
              <w:rPr>
                <w:sz w:val="20"/>
                <w:szCs w:val="20"/>
              </w:rPr>
              <w:t xml:space="preserve">O processo de Gestão de Mudanças proporcionou redução de custos operacionais devido a padronização na execução de procedimentos, as mudanças são executadas dentro das janelas previstas possibilitando a gestão dos recursos. O mapeamento das mudanças e </w:t>
            </w:r>
            <w:proofErr w:type="spellStart"/>
            <w:r w:rsidRPr="00E40182">
              <w:rPr>
                <w:sz w:val="20"/>
                <w:szCs w:val="20"/>
              </w:rPr>
              <w:t>lastreamento</w:t>
            </w:r>
            <w:proofErr w:type="spellEnd"/>
            <w:r w:rsidRPr="00E40182">
              <w:rPr>
                <w:sz w:val="20"/>
                <w:szCs w:val="20"/>
              </w:rPr>
              <w:t xml:space="preserve"> de incidentes também foi apontado como importantes contribuições.</w:t>
            </w:r>
          </w:p>
        </w:tc>
      </w:tr>
      <w:tr w:rsidR="00F977A3" w:rsidRPr="00DB4CB0" w14:paraId="3333672B" w14:textId="77777777" w:rsidTr="00393113">
        <w:tc>
          <w:tcPr>
            <w:tcW w:w="1526" w:type="dxa"/>
            <w:shd w:val="clear" w:color="auto" w:fill="auto"/>
          </w:tcPr>
          <w:p w14:paraId="4893E5C1" w14:textId="77777777" w:rsidR="00F977A3" w:rsidRPr="00E40182" w:rsidRDefault="00F977A3" w:rsidP="00393113">
            <w:pPr>
              <w:jc w:val="both"/>
              <w:rPr>
                <w:sz w:val="20"/>
                <w:szCs w:val="20"/>
              </w:rPr>
            </w:pPr>
            <w:r w:rsidRPr="00E40182">
              <w:rPr>
                <w:sz w:val="20"/>
                <w:szCs w:val="20"/>
              </w:rPr>
              <w:t>E3</w:t>
            </w:r>
          </w:p>
        </w:tc>
        <w:tc>
          <w:tcPr>
            <w:tcW w:w="7654" w:type="dxa"/>
            <w:shd w:val="clear" w:color="auto" w:fill="auto"/>
          </w:tcPr>
          <w:p w14:paraId="6CE1F2FB" w14:textId="77777777" w:rsidR="00F977A3" w:rsidRPr="00E40182" w:rsidRDefault="00F977A3" w:rsidP="00393113">
            <w:pPr>
              <w:jc w:val="both"/>
              <w:rPr>
                <w:sz w:val="20"/>
                <w:szCs w:val="20"/>
              </w:rPr>
            </w:pPr>
            <w:r w:rsidRPr="00E40182">
              <w:rPr>
                <w:sz w:val="20"/>
                <w:szCs w:val="20"/>
              </w:rPr>
              <w:t>Para o entrevistado a o processo foi fundamental para melhorar a qualidade de TI, pois a maioria dos problemas de qualidade estão relacionados a mudanças mal planejadas e sem gestão que são executadas sem comunicação devida.</w:t>
            </w:r>
          </w:p>
        </w:tc>
      </w:tr>
      <w:tr w:rsidR="00F977A3" w:rsidRPr="00DB4CB0" w14:paraId="36A4EB3C" w14:textId="77777777" w:rsidTr="00393113">
        <w:tc>
          <w:tcPr>
            <w:tcW w:w="1526" w:type="dxa"/>
            <w:shd w:val="clear" w:color="auto" w:fill="auto"/>
          </w:tcPr>
          <w:p w14:paraId="5609AA52" w14:textId="77777777" w:rsidR="00F977A3" w:rsidRPr="00E40182" w:rsidRDefault="00F977A3" w:rsidP="00393113">
            <w:pPr>
              <w:jc w:val="both"/>
              <w:rPr>
                <w:sz w:val="20"/>
                <w:szCs w:val="20"/>
              </w:rPr>
            </w:pPr>
            <w:r w:rsidRPr="00E40182">
              <w:rPr>
                <w:sz w:val="20"/>
                <w:szCs w:val="20"/>
              </w:rPr>
              <w:t>E4</w:t>
            </w:r>
          </w:p>
        </w:tc>
        <w:tc>
          <w:tcPr>
            <w:tcW w:w="7654" w:type="dxa"/>
            <w:shd w:val="clear" w:color="auto" w:fill="auto"/>
          </w:tcPr>
          <w:p w14:paraId="4BD7F37D" w14:textId="77777777" w:rsidR="00F977A3" w:rsidRPr="00E40182" w:rsidRDefault="00F977A3" w:rsidP="00393113">
            <w:pPr>
              <w:jc w:val="both"/>
              <w:rPr>
                <w:sz w:val="20"/>
                <w:szCs w:val="20"/>
              </w:rPr>
            </w:pPr>
            <w:r w:rsidRPr="00E40182">
              <w:rPr>
                <w:sz w:val="20"/>
                <w:szCs w:val="20"/>
              </w:rPr>
              <w:t>O processo auxiliou no quesito incidência de falhas, proporcionou um ambiente mais estável, disponível e seguro. O entrevistado acredita que o processo possua falhas no quesito integração de áreas, pois muitas falhas poderiam ser evitadas se houvesse uma gestão da integração do conhecimento entre equipes.</w:t>
            </w:r>
          </w:p>
        </w:tc>
      </w:tr>
      <w:tr w:rsidR="00F977A3" w:rsidRPr="00DB4CB0" w14:paraId="4FD6317A" w14:textId="77777777" w:rsidTr="00393113">
        <w:tc>
          <w:tcPr>
            <w:tcW w:w="1526" w:type="dxa"/>
            <w:shd w:val="clear" w:color="auto" w:fill="auto"/>
          </w:tcPr>
          <w:p w14:paraId="6FE13B0E" w14:textId="77777777" w:rsidR="00F977A3" w:rsidRPr="00E40182" w:rsidRDefault="00F977A3" w:rsidP="00393113">
            <w:pPr>
              <w:jc w:val="both"/>
              <w:rPr>
                <w:sz w:val="20"/>
                <w:szCs w:val="20"/>
              </w:rPr>
            </w:pPr>
            <w:r w:rsidRPr="00E40182">
              <w:rPr>
                <w:sz w:val="20"/>
                <w:szCs w:val="20"/>
              </w:rPr>
              <w:t>E5</w:t>
            </w:r>
          </w:p>
        </w:tc>
        <w:tc>
          <w:tcPr>
            <w:tcW w:w="7654" w:type="dxa"/>
            <w:shd w:val="clear" w:color="auto" w:fill="auto"/>
          </w:tcPr>
          <w:p w14:paraId="2EA37542" w14:textId="77777777" w:rsidR="00F977A3" w:rsidRPr="00E40182" w:rsidRDefault="00F977A3" w:rsidP="00393113">
            <w:pPr>
              <w:jc w:val="both"/>
              <w:rPr>
                <w:sz w:val="20"/>
                <w:szCs w:val="20"/>
              </w:rPr>
            </w:pPr>
            <w:r w:rsidRPr="00E40182">
              <w:rPr>
                <w:sz w:val="20"/>
                <w:szCs w:val="20"/>
              </w:rPr>
              <w:t xml:space="preserve">Um ambiente sem controle e gestão de mudanças não é um ambiente seguro e, portanto, o ambiente não produtivo foi elevado a um patamar quando implementou, treinou e garantiu integridade e confiabilidade nas mudanças que ocorrem no ambiente. O entrevistado afirma que houve uma redução brusca na quantidade recebida de reclamações nos ambientes e acredita que uma das causas foi a implementação do processo de Gestão de Mudanças junto à outras ações que foram tomadas na governança dos ambientes, como saneamento, mapeamento do parque tecnológico, entre outros. </w:t>
            </w:r>
          </w:p>
        </w:tc>
      </w:tr>
      <w:tr w:rsidR="00F977A3" w:rsidRPr="00DB4CB0" w14:paraId="0DA2F998" w14:textId="77777777" w:rsidTr="00393113">
        <w:tc>
          <w:tcPr>
            <w:tcW w:w="1526" w:type="dxa"/>
            <w:shd w:val="clear" w:color="auto" w:fill="auto"/>
          </w:tcPr>
          <w:p w14:paraId="6735009E" w14:textId="77777777" w:rsidR="00F977A3" w:rsidRPr="00E40182" w:rsidRDefault="00F977A3" w:rsidP="00393113">
            <w:pPr>
              <w:jc w:val="both"/>
              <w:rPr>
                <w:sz w:val="20"/>
                <w:szCs w:val="20"/>
              </w:rPr>
            </w:pPr>
            <w:r w:rsidRPr="00E40182">
              <w:rPr>
                <w:sz w:val="20"/>
                <w:szCs w:val="20"/>
              </w:rPr>
              <w:t>E6</w:t>
            </w:r>
          </w:p>
        </w:tc>
        <w:tc>
          <w:tcPr>
            <w:tcW w:w="7654" w:type="dxa"/>
            <w:shd w:val="clear" w:color="auto" w:fill="auto"/>
          </w:tcPr>
          <w:p w14:paraId="77658B6E" w14:textId="77777777" w:rsidR="00F977A3" w:rsidRPr="00E40182" w:rsidRDefault="00F977A3" w:rsidP="00393113">
            <w:pPr>
              <w:jc w:val="both"/>
              <w:rPr>
                <w:sz w:val="20"/>
                <w:szCs w:val="20"/>
              </w:rPr>
            </w:pPr>
            <w:r w:rsidRPr="00E40182">
              <w:rPr>
                <w:sz w:val="20"/>
                <w:szCs w:val="20"/>
              </w:rPr>
              <w:t>Vê a gestão de mudanças como a orquestradora do processo evolutivo de TI da empresa e critica a falta de garantia da funcionalidade das tarefas de uma mudança. Acredita que o processo proporciona boa comunicação no levantamento de informações pertinentes.</w:t>
            </w:r>
          </w:p>
        </w:tc>
      </w:tr>
      <w:tr w:rsidR="00F977A3" w:rsidRPr="00DB4CB0" w14:paraId="017D32F3" w14:textId="77777777" w:rsidTr="00393113">
        <w:trPr>
          <w:trHeight w:val="507"/>
        </w:trPr>
        <w:tc>
          <w:tcPr>
            <w:tcW w:w="1526" w:type="dxa"/>
            <w:shd w:val="clear" w:color="auto" w:fill="auto"/>
          </w:tcPr>
          <w:p w14:paraId="404DEECC" w14:textId="77777777" w:rsidR="00F977A3" w:rsidRPr="00E40182" w:rsidRDefault="00F977A3" w:rsidP="00393113">
            <w:pPr>
              <w:jc w:val="both"/>
              <w:rPr>
                <w:sz w:val="20"/>
                <w:szCs w:val="20"/>
              </w:rPr>
            </w:pPr>
            <w:r w:rsidRPr="00E40182">
              <w:rPr>
                <w:sz w:val="20"/>
                <w:szCs w:val="20"/>
              </w:rPr>
              <w:t>E7</w:t>
            </w:r>
          </w:p>
        </w:tc>
        <w:tc>
          <w:tcPr>
            <w:tcW w:w="7654" w:type="dxa"/>
            <w:shd w:val="clear" w:color="auto" w:fill="auto"/>
          </w:tcPr>
          <w:p w14:paraId="08CED2E4" w14:textId="77777777" w:rsidR="00F977A3" w:rsidRPr="00E40182" w:rsidRDefault="00F977A3" w:rsidP="00393113">
            <w:pPr>
              <w:jc w:val="both"/>
              <w:rPr>
                <w:sz w:val="20"/>
                <w:szCs w:val="20"/>
              </w:rPr>
            </w:pPr>
            <w:r w:rsidRPr="00E40182">
              <w:rPr>
                <w:sz w:val="20"/>
                <w:szCs w:val="20"/>
              </w:rPr>
              <w:t>A gestão de mudanças colaborou com a priorização e planejamento dos recursos, auxiliou na prevenção de incidentes nos ambientes não produtivos e proveu maior confiabilidade aos serviços. Ainda é necessário que o gestor de mudanças tenha conhecimento técnico para poder agregar na validação dos planos de contorno e retorno.</w:t>
            </w:r>
          </w:p>
        </w:tc>
      </w:tr>
    </w:tbl>
    <w:p w14:paraId="3B1837A5" w14:textId="77777777" w:rsidR="00F977A3" w:rsidRPr="00ED271B" w:rsidRDefault="00F977A3" w:rsidP="00F977A3">
      <w:pPr>
        <w:jc w:val="both"/>
        <w:rPr>
          <w:b/>
          <w:sz w:val="20"/>
          <w:szCs w:val="20"/>
        </w:rPr>
      </w:pPr>
      <w:r w:rsidRPr="00ED271B">
        <w:rPr>
          <w:b/>
          <w:sz w:val="20"/>
          <w:szCs w:val="20"/>
        </w:rPr>
        <w:t>Quadro 4: Quadro síntese dos entrevistados</w:t>
      </w:r>
    </w:p>
    <w:p w14:paraId="2B1B8498" w14:textId="77777777" w:rsidR="00F977A3" w:rsidRPr="00ED271B" w:rsidRDefault="00F977A3" w:rsidP="00F977A3">
      <w:pPr>
        <w:jc w:val="both"/>
        <w:rPr>
          <w:sz w:val="20"/>
          <w:szCs w:val="20"/>
        </w:rPr>
      </w:pPr>
      <w:r w:rsidRPr="00ED271B">
        <w:rPr>
          <w:sz w:val="20"/>
          <w:szCs w:val="20"/>
        </w:rPr>
        <w:t>Fonte: Elaborado pelos autores</w:t>
      </w:r>
    </w:p>
    <w:p w14:paraId="59BA7D61" w14:textId="77777777" w:rsidR="00F977A3" w:rsidRDefault="00F977A3" w:rsidP="00F977A3">
      <w:pPr>
        <w:ind w:firstLine="360"/>
        <w:jc w:val="both"/>
      </w:pPr>
    </w:p>
    <w:p w14:paraId="6268DAFC" w14:textId="77777777" w:rsidR="00F977A3" w:rsidRDefault="00F977A3" w:rsidP="00F977A3">
      <w:pPr>
        <w:ind w:firstLine="426"/>
        <w:jc w:val="both"/>
      </w:pPr>
      <w:r w:rsidRPr="00846DD9">
        <w:t xml:space="preserve">Além dos dados de relatórios, gerados a partir do </w:t>
      </w:r>
      <w:proofErr w:type="spellStart"/>
      <w:r w:rsidRPr="00846DD9">
        <w:t>Remedy</w:t>
      </w:r>
      <w:proofErr w:type="spellEnd"/>
      <w:r w:rsidRPr="00846DD9">
        <w:t>, os entrevistados relatam que o processo proporcionou maior confiabilidade, segurança e agilidade nas mudanças realizadas. Surgindo, portanto, um ambiente mais seguro, evitando incidentes devidos a mudanças não avaliadas e, em muitos casos, não autorizadas.</w:t>
      </w:r>
      <w:r>
        <w:t xml:space="preserve"> </w:t>
      </w:r>
    </w:p>
    <w:p w14:paraId="6BA5F333" w14:textId="77777777" w:rsidR="00F977A3" w:rsidRPr="00846DD9" w:rsidRDefault="00F977A3" w:rsidP="00F977A3">
      <w:pPr>
        <w:ind w:firstLine="426"/>
        <w:jc w:val="both"/>
      </w:pPr>
      <w:r w:rsidRPr="00846DD9">
        <w:t xml:space="preserve">Na intervenção realizada, sob a ótica das dimensões abordadas por </w:t>
      </w:r>
      <w:r w:rsidRPr="00846DD9">
        <w:fldChar w:fldCharType="begin"/>
      </w:r>
      <w:r w:rsidRPr="00846DD9">
        <w:instrText xml:space="preserve"> ADDIN ZOTERO_ITEM CSL_CITATION {"citationID":"287mumvmdo","properties":{"formattedCitation":"(Arun Parasuraman et al., 1988)","plainCitation":"(Arun Parasuraman et al., 1988)"},"citationItems":[{"id":774,"uris":["http://zotero.org/users/local/8hOLXDTg/items/M4JAD26T"],"uri":["http://zotero.org/users/local/8hOLXDTg/items/M4JAD26T"],"itemData":{"id":774,"type":"article-journal","title":"Servqual","container-title":"Journal of retailing","page":"12–40","volume":"64","issue":"1","source":"Google Scholar","author":[{"family":"Parasuraman","given":"Arun"},{"family":"Zeithaml","given":"Valarie A."},{"family":"Berry","given":"Leonard L."}],"issued":{"date-parts":[["1988"]]},"accessed":{"date-parts":[["2015",6,7]]}}}],"schema":"https://github.com/citation-style-language/schema/raw/master/csl-citation.json"} </w:instrText>
      </w:r>
      <w:r w:rsidRPr="00846DD9">
        <w:fldChar w:fldCharType="separate"/>
      </w:r>
      <w:r w:rsidRPr="00846DD9">
        <w:rPr>
          <w:noProof/>
        </w:rPr>
        <w:t>(Arun Parasuraman et al., 1988)</w:t>
      </w:r>
      <w:r w:rsidRPr="00846DD9">
        <w:fldChar w:fldCharType="end"/>
      </w:r>
      <w:r w:rsidRPr="00846DD9">
        <w:t xml:space="preserve">, a confiabilidade foi apontada pelos usuários dos ambientes não produtivos como tendo uma melhoria significativa. A </w:t>
      </w:r>
      <w:proofErr w:type="spellStart"/>
      <w:r w:rsidRPr="00846DD9">
        <w:t>responsividade</w:t>
      </w:r>
      <w:proofErr w:type="spellEnd"/>
      <w:r w:rsidRPr="00846DD9">
        <w:t xml:space="preserve"> foi atingida pelas normas, procedimentos e políticas, bem como pelos canais de contato com os gestores de mudanças. Os ambientes passaram a inspirar maior confiabilidade aos seus usuários, proporcionando credibilidade ao ambiente e aos serviços. A empatia cresceu pelo cuidado com todo o processo de gestão e a atenção individualizada com os usuários em todas as fases </w:t>
      </w:r>
      <w:proofErr w:type="spellStart"/>
      <w:r w:rsidRPr="00846DD9">
        <w:t>pré</w:t>
      </w:r>
      <w:proofErr w:type="spellEnd"/>
      <w:r w:rsidRPr="00846DD9">
        <w:t xml:space="preserve"> e pós mudança: início do registro, planejamento e agendamento, revisão e autorização, implementação, fechamento e relatórios.</w:t>
      </w:r>
      <w:r>
        <w:t xml:space="preserve"> </w:t>
      </w:r>
      <w:r w:rsidRPr="00846DD9">
        <w:t>Neste sentido a inserção de um processo de gerenciamento de mudanças acompanhado de um ferramental de suporte e uma equipe conscientizada e treinada tanto no uso da ferramenta, como no entendimento do processo podem melhorar a qualidade dos serviços, neste caso os serviços dos ambientes de TI.</w:t>
      </w:r>
    </w:p>
    <w:p w14:paraId="586FDCD1" w14:textId="77777777" w:rsidR="00F977A3" w:rsidRPr="00846DD9" w:rsidRDefault="00F977A3" w:rsidP="00F977A3">
      <w:pPr>
        <w:tabs>
          <w:tab w:val="left" w:pos="7185"/>
        </w:tabs>
        <w:ind w:left="360"/>
        <w:jc w:val="both"/>
      </w:pPr>
      <w:r w:rsidRPr="00846DD9">
        <w:tab/>
      </w:r>
    </w:p>
    <w:p w14:paraId="56773057" w14:textId="77777777" w:rsidR="00F977A3" w:rsidRPr="00846DD9" w:rsidRDefault="00F977A3" w:rsidP="00F977A3">
      <w:pPr>
        <w:pStyle w:val="ListParagraph"/>
        <w:numPr>
          <w:ilvl w:val="0"/>
          <w:numId w:val="1"/>
        </w:numPr>
        <w:contextualSpacing/>
        <w:jc w:val="both"/>
        <w:rPr>
          <w:b/>
        </w:rPr>
      </w:pPr>
      <w:r w:rsidRPr="00846DD9">
        <w:rPr>
          <w:b/>
        </w:rPr>
        <w:t>CONCLUSÃO</w:t>
      </w:r>
    </w:p>
    <w:p w14:paraId="35866175" w14:textId="77777777" w:rsidR="00F977A3" w:rsidRPr="00846DD9" w:rsidRDefault="00F977A3" w:rsidP="00F977A3">
      <w:pPr>
        <w:jc w:val="both"/>
      </w:pPr>
    </w:p>
    <w:p w14:paraId="7F5595E6" w14:textId="77777777" w:rsidR="00F977A3" w:rsidRPr="00846DD9" w:rsidRDefault="00F977A3" w:rsidP="00F977A3">
      <w:pPr>
        <w:ind w:firstLine="426"/>
        <w:jc w:val="both"/>
      </w:pPr>
      <w:r w:rsidRPr="00846DD9">
        <w:t xml:space="preserve">A gestão de mudanças exerceu papel fundamental no fornecimento de serviços de melhor qualidade providos pela Alpha garantindo, portanto, ser uma ferramenta válida e convergente no processo de melhoria da qualidade. Os serviços da Alpha sofreram melhorias nos quesitos apontados por </w:t>
      </w:r>
      <w:proofErr w:type="spellStart"/>
      <w:r w:rsidRPr="00846DD9">
        <w:t>Parasuraman</w:t>
      </w:r>
      <w:proofErr w:type="spellEnd"/>
      <w:r w:rsidRPr="00846DD9">
        <w:t xml:space="preserve"> et. Al (1979) como sendo fundamentais na avaliação da qualidade percebida, de acordo com as entrevistas realizadas com os participantes do processo.</w:t>
      </w:r>
      <w:r>
        <w:t xml:space="preserve"> </w:t>
      </w:r>
      <w:r w:rsidRPr="00846DD9">
        <w:t xml:space="preserve">Vale ressalvar que a gestão de mudanças, sozinha, não traz todo o benefício esperado dos serviços de qualidade, portanto, outros processos devem ser integrados ao processo de gestão de mudanças. A ITIL provê um </w:t>
      </w:r>
      <w:r w:rsidRPr="00EB6A9E">
        <w:rPr>
          <w:i/>
        </w:rPr>
        <w:t xml:space="preserve">framework </w:t>
      </w:r>
      <w:r w:rsidRPr="00846DD9">
        <w:t>de gestão e governança de TI que envolve outros estágios do serviço, como por exemplo, o desenho do serviço, a operação do serviço, a estratégia do serviço e melhoria contínua do serviço, que integram-se com a transição do serviço. Portanto, espera-se que estes processos integrados possam corroborar ainda mais no aumento da qualidade percebida dos usuários dos ambientes de TI da empresa.</w:t>
      </w:r>
    </w:p>
    <w:p w14:paraId="116494F0" w14:textId="77777777" w:rsidR="00F977A3" w:rsidRDefault="00F977A3" w:rsidP="00F977A3">
      <w:pPr>
        <w:ind w:firstLine="426"/>
        <w:jc w:val="both"/>
      </w:pPr>
    </w:p>
    <w:p w14:paraId="5AB282BE" w14:textId="77777777" w:rsidR="00F977A3" w:rsidRPr="00846DD9" w:rsidRDefault="00F977A3" w:rsidP="00F977A3">
      <w:pPr>
        <w:ind w:firstLine="426"/>
        <w:jc w:val="both"/>
      </w:pPr>
      <w:r w:rsidRPr="00846DD9">
        <w:t>Foi constatado que o processo de gestão de mudanças pode auxiliar o processo de gestão de incidentes, seja na prevenção, na disseminação do conhecimento, entre outros. Portanto, como sugestão de melhorias futuras e estudos futuros, entender como os processos integrados podem auxiliar e corroborar para a melhoria da qualidade dos serviços.</w:t>
      </w:r>
      <w:r>
        <w:t xml:space="preserve"> </w:t>
      </w:r>
      <w:r w:rsidRPr="00846DD9">
        <w:t>O processo de gestão de mudanças implementado ainda apresenta falhas e estas são tratadas como oportunidades de melhorias futuras. Uma das falhas apresentadas é que nem todas as tarefas de uma mudança são implementadas dentro do tempo previsto, portanto, ainda existe este gap de planejamento.</w:t>
      </w:r>
    </w:p>
    <w:p w14:paraId="0D4E9EC6" w14:textId="77777777" w:rsidR="00F977A3" w:rsidRPr="00846DD9" w:rsidRDefault="00F977A3" w:rsidP="00F977A3">
      <w:pPr>
        <w:ind w:firstLine="426"/>
        <w:jc w:val="both"/>
      </w:pPr>
      <w:r w:rsidRPr="00846DD9">
        <w:t>Como sugestão de melhorias futuras deve-se realizar um estudo para suprir a carência na garantia da funcionalidade das tarefas, conforme mencionado por um dos entrevistados o processo não oferece garantia que a mudança ocorrerá de eficazmente, apenas eficientemente.  Como sugestão adicional de intervenção a ser realizada na Alpha trata-se de analisar, implementar e medir a disseminação do conhecimento dos gestores de mudanças, para que os mesmos possam intervir de maneira proativa em questões mais técnicas e que atualmente eles não podem intervir.</w:t>
      </w:r>
    </w:p>
    <w:p w14:paraId="1C2DCD0D" w14:textId="77777777" w:rsidR="00F977A3" w:rsidRPr="00846DD9" w:rsidRDefault="00F977A3" w:rsidP="00F977A3">
      <w:pPr>
        <w:pStyle w:val="ListParagraph"/>
        <w:ind w:left="0"/>
        <w:jc w:val="both"/>
      </w:pPr>
    </w:p>
    <w:p w14:paraId="24202B44" w14:textId="77777777" w:rsidR="00F977A3" w:rsidRDefault="00F977A3" w:rsidP="00F977A3">
      <w:pPr>
        <w:pStyle w:val="ListParagraph"/>
        <w:numPr>
          <w:ilvl w:val="0"/>
          <w:numId w:val="1"/>
        </w:numPr>
        <w:contextualSpacing/>
        <w:jc w:val="both"/>
      </w:pPr>
      <w:r w:rsidRPr="00846DD9">
        <w:rPr>
          <w:b/>
        </w:rPr>
        <w:t>REFERENCIAL</w:t>
      </w:r>
    </w:p>
    <w:p w14:paraId="01288462" w14:textId="77777777" w:rsidR="00F977A3" w:rsidRDefault="00F977A3" w:rsidP="00F977A3">
      <w:pPr>
        <w:pStyle w:val="ListParagraph"/>
        <w:ind w:left="0"/>
        <w:contextualSpacing/>
        <w:jc w:val="both"/>
      </w:pPr>
    </w:p>
    <w:p w14:paraId="0A6B4B51" w14:textId="77777777" w:rsidR="00F977A3" w:rsidRDefault="00F977A3" w:rsidP="00F977A3">
      <w:pPr>
        <w:pStyle w:val="Bibliography"/>
        <w:ind w:left="426" w:hanging="426"/>
        <w:jc w:val="both"/>
        <w:rPr>
          <w:lang w:val="en-US"/>
        </w:rPr>
      </w:pPr>
      <w:r>
        <w:rPr>
          <w:lang w:val="en-US"/>
        </w:rPr>
        <w:fldChar w:fldCharType="begin"/>
      </w:r>
      <w:r>
        <w:rPr>
          <w:lang w:val="en-US"/>
        </w:rPr>
        <w:instrText xml:space="preserve"> ADDIN ZOTERO_BIBL {"custom":[]} CSL_BIBLIOGRAPHY </w:instrText>
      </w:r>
      <w:r>
        <w:rPr>
          <w:lang w:val="en-US"/>
        </w:rPr>
        <w:fldChar w:fldCharType="separate"/>
      </w:r>
      <w:r w:rsidRPr="00A635A9">
        <w:rPr>
          <w:lang w:val="en-US"/>
        </w:rPr>
        <w:t xml:space="preserve">Benjamin, R. I., &amp; Levinson, E. (1993). A framework for managing IT-enabled change. </w:t>
      </w:r>
      <w:r w:rsidRPr="00A635A9">
        <w:rPr>
          <w:i/>
          <w:iCs/>
          <w:lang w:val="en-US"/>
        </w:rPr>
        <w:t xml:space="preserve">Sloan </w:t>
      </w:r>
      <w:r>
        <w:rPr>
          <w:i/>
          <w:iCs/>
          <w:lang w:val="en-US"/>
        </w:rPr>
        <w:t xml:space="preserve">     </w:t>
      </w:r>
      <w:r w:rsidRPr="00A635A9">
        <w:rPr>
          <w:i/>
          <w:iCs/>
          <w:lang w:val="en-US"/>
        </w:rPr>
        <w:t>Management Review</w:t>
      </w:r>
      <w:r w:rsidRPr="00A635A9">
        <w:rPr>
          <w:lang w:val="en-US"/>
        </w:rPr>
        <w:t xml:space="preserve">, </w:t>
      </w:r>
      <w:r w:rsidRPr="00A635A9">
        <w:rPr>
          <w:i/>
          <w:iCs/>
          <w:lang w:val="en-US"/>
        </w:rPr>
        <w:t>34</w:t>
      </w:r>
      <w:r w:rsidRPr="00A635A9">
        <w:rPr>
          <w:lang w:val="en-US"/>
        </w:rPr>
        <w:t>(4), 23–33.</w:t>
      </w:r>
    </w:p>
    <w:p w14:paraId="5135203E" w14:textId="77777777" w:rsidR="00F977A3" w:rsidRPr="00ED271B" w:rsidRDefault="00F977A3" w:rsidP="00F977A3">
      <w:pPr>
        <w:ind w:left="426" w:hanging="426"/>
        <w:rPr>
          <w:lang w:val="en-US"/>
        </w:rPr>
      </w:pPr>
    </w:p>
    <w:p w14:paraId="7E22CA3E" w14:textId="77777777" w:rsidR="00F977A3" w:rsidRDefault="00F977A3" w:rsidP="00F977A3">
      <w:pPr>
        <w:pStyle w:val="Bibliography"/>
        <w:ind w:left="426" w:hanging="426"/>
        <w:jc w:val="both"/>
        <w:rPr>
          <w:lang w:val="en-US"/>
        </w:rPr>
      </w:pPr>
      <w:r w:rsidRPr="00A635A9">
        <w:rPr>
          <w:lang w:val="en-US"/>
        </w:rPr>
        <w:t xml:space="preserve">Cronin Jr, J. J., &amp; Taylor, S. A. (1992). Measuring service quality: a reexamination and extension. </w:t>
      </w:r>
      <w:r w:rsidRPr="00A635A9">
        <w:rPr>
          <w:i/>
          <w:iCs/>
          <w:lang w:val="en-US"/>
        </w:rPr>
        <w:t>The Journal of Marketing</w:t>
      </w:r>
      <w:r w:rsidRPr="00A635A9">
        <w:rPr>
          <w:lang w:val="en-US"/>
        </w:rPr>
        <w:t>, 55–68.</w:t>
      </w:r>
    </w:p>
    <w:p w14:paraId="17B59B45" w14:textId="77777777" w:rsidR="00F977A3" w:rsidRPr="00ED271B" w:rsidRDefault="00F977A3" w:rsidP="00F977A3">
      <w:pPr>
        <w:ind w:left="426" w:hanging="426"/>
      </w:pPr>
    </w:p>
    <w:p w14:paraId="2D126B87" w14:textId="77777777" w:rsidR="00F977A3" w:rsidRDefault="00F977A3" w:rsidP="00F977A3">
      <w:pPr>
        <w:pStyle w:val="Bibliography"/>
        <w:ind w:left="426" w:hanging="426"/>
        <w:jc w:val="both"/>
        <w:rPr>
          <w:lang w:val="en-US"/>
        </w:rPr>
      </w:pPr>
      <w:r w:rsidRPr="00A635A9">
        <w:rPr>
          <w:lang w:val="en-US"/>
        </w:rPr>
        <w:t xml:space="preserve">Gronroos, C. (1988). Service quality: the six criteria of good perceived service. </w:t>
      </w:r>
      <w:r w:rsidRPr="00A635A9">
        <w:rPr>
          <w:i/>
          <w:iCs/>
          <w:lang w:val="en-US"/>
        </w:rPr>
        <w:t>Review of Business</w:t>
      </w:r>
      <w:r w:rsidRPr="00A635A9">
        <w:rPr>
          <w:lang w:val="en-US"/>
        </w:rPr>
        <w:t xml:space="preserve">, </w:t>
      </w:r>
      <w:r w:rsidRPr="00A635A9">
        <w:rPr>
          <w:i/>
          <w:iCs/>
          <w:lang w:val="en-US"/>
        </w:rPr>
        <w:t>9</w:t>
      </w:r>
      <w:r w:rsidRPr="00A635A9">
        <w:rPr>
          <w:lang w:val="en-US"/>
        </w:rPr>
        <w:t>(3), 10.</w:t>
      </w:r>
    </w:p>
    <w:p w14:paraId="36B3DC21" w14:textId="77777777" w:rsidR="00F977A3" w:rsidRPr="00BD0C24" w:rsidRDefault="00F977A3" w:rsidP="00F977A3"/>
    <w:p w14:paraId="2D10BFC5" w14:textId="77777777" w:rsidR="00F977A3" w:rsidRDefault="00F977A3" w:rsidP="00F977A3">
      <w:pPr>
        <w:pStyle w:val="Bibliography"/>
        <w:ind w:left="426" w:hanging="426"/>
        <w:jc w:val="both"/>
        <w:rPr>
          <w:lang w:val="en-US"/>
        </w:rPr>
      </w:pPr>
      <w:r w:rsidRPr="00A635A9">
        <w:rPr>
          <w:lang w:val="en-US"/>
        </w:rPr>
        <w:t xml:space="preserve">Kettinger, W. J., &amp; Lee, C. C. (1994). Perceived service quality and user satisfaction with the information services function*. </w:t>
      </w:r>
      <w:r w:rsidRPr="00A635A9">
        <w:rPr>
          <w:i/>
          <w:iCs/>
          <w:lang w:val="en-US"/>
        </w:rPr>
        <w:t>Decision Sciences</w:t>
      </w:r>
      <w:r w:rsidRPr="00A635A9">
        <w:rPr>
          <w:lang w:val="en-US"/>
        </w:rPr>
        <w:t xml:space="preserve">, </w:t>
      </w:r>
      <w:r w:rsidRPr="00A635A9">
        <w:rPr>
          <w:i/>
          <w:iCs/>
          <w:lang w:val="en-US"/>
        </w:rPr>
        <w:t>25</w:t>
      </w:r>
      <w:r w:rsidRPr="00A635A9">
        <w:rPr>
          <w:lang w:val="en-US"/>
        </w:rPr>
        <w:t>(5-6), 737–766.</w:t>
      </w:r>
    </w:p>
    <w:p w14:paraId="7699C3FA" w14:textId="77777777" w:rsidR="00F977A3" w:rsidRPr="00BD0C24" w:rsidRDefault="00F977A3" w:rsidP="00F977A3"/>
    <w:p w14:paraId="04003EBE" w14:textId="77777777" w:rsidR="00F977A3" w:rsidRDefault="00F977A3" w:rsidP="00F977A3">
      <w:pPr>
        <w:pStyle w:val="Bibliography"/>
        <w:ind w:left="426" w:hanging="426"/>
        <w:jc w:val="both"/>
        <w:rPr>
          <w:lang w:val="en-US"/>
        </w:rPr>
      </w:pPr>
      <w:r w:rsidRPr="00A635A9">
        <w:rPr>
          <w:lang w:val="en-US"/>
        </w:rPr>
        <w:t xml:space="preserve">Parasuraman, A., Zeithaml, V. A., &amp; Berry, L. L. (1985). A conceptual model of service quality and its implications for future research. </w:t>
      </w:r>
      <w:r w:rsidRPr="00A635A9">
        <w:rPr>
          <w:i/>
          <w:iCs/>
          <w:lang w:val="en-US"/>
        </w:rPr>
        <w:t>The Journal of Marketing</w:t>
      </w:r>
      <w:r w:rsidRPr="00A635A9">
        <w:rPr>
          <w:lang w:val="en-US"/>
        </w:rPr>
        <w:t>, 41–50.</w:t>
      </w:r>
    </w:p>
    <w:p w14:paraId="1873A850" w14:textId="77777777" w:rsidR="00F977A3" w:rsidRPr="00BD0C24" w:rsidRDefault="00F977A3" w:rsidP="00F977A3"/>
    <w:p w14:paraId="280CBBC3" w14:textId="77777777" w:rsidR="00F977A3" w:rsidRDefault="00F977A3" w:rsidP="00F977A3">
      <w:pPr>
        <w:pStyle w:val="Bibliography"/>
        <w:ind w:left="426" w:hanging="426"/>
        <w:jc w:val="both"/>
        <w:rPr>
          <w:lang w:val="en-US"/>
        </w:rPr>
      </w:pPr>
      <w:r w:rsidRPr="00A635A9">
        <w:rPr>
          <w:lang w:val="en-US"/>
        </w:rPr>
        <w:t xml:space="preserve">Parasuraman, A., Zeithaml, V. A., &amp; Berry, L. L. (1988). Servqual. </w:t>
      </w:r>
      <w:r w:rsidRPr="00A635A9">
        <w:rPr>
          <w:i/>
          <w:iCs/>
          <w:lang w:val="en-US"/>
        </w:rPr>
        <w:t>Journal of Retailing</w:t>
      </w:r>
      <w:r w:rsidRPr="00A635A9">
        <w:rPr>
          <w:lang w:val="en-US"/>
        </w:rPr>
        <w:t xml:space="preserve">, </w:t>
      </w:r>
      <w:r w:rsidRPr="00A635A9">
        <w:rPr>
          <w:i/>
          <w:iCs/>
          <w:lang w:val="en-US"/>
        </w:rPr>
        <w:t>64</w:t>
      </w:r>
      <w:r w:rsidRPr="00A635A9">
        <w:rPr>
          <w:lang w:val="en-US"/>
        </w:rPr>
        <w:t>(1), 12–40.</w:t>
      </w:r>
    </w:p>
    <w:p w14:paraId="0B8BF23F" w14:textId="77777777" w:rsidR="00F977A3" w:rsidRPr="00BD0C24" w:rsidRDefault="00F977A3" w:rsidP="00F977A3"/>
    <w:p w14:paraId="12D91C87" w14:textId="77777777" w:rsidR="00F977A3" w:rsidRDefault="00F977A3" w:rsidP="00F977A3">
      <w:pPr>
        <w:pStyle w:val="Bibliography"/>
        <w:ind w:left="426" w:hanging="426"/>
        <w:jc w:val="both"/>
        <w:rPr>
          <w:lang w:val="en-US"/>
        </w:rPr>
      </w:pPr>
      <w:r w:rsidRPr="00A635A9">
        <w:rPr>
          <w:lang w:val="en-US"/>
        </w:rPr>
        <w:t xml:space="preserve">Roller, S. (2009). The Service Management Office. </w:t>
      </w:r>
      <w:r w:rsidRPr="00A635A9">
        <w:rPr>
          <w:i/>
          <w:iCs/>
          <w:lang w:val="en-US"/>
        </w:rPr>
        <w:t>The Role of Integrated Governance and the ITIL V3</w:t>
      </w:r>
      <w:r w:rsidRPr="00A635A9">
        <w:rPr>
          <w:lang w:val="en-US"/>
        </w:rPr>
        <w:t>.</w:t>
      </w:r>
    </w:p>
    <w:p w14:paraId="2E281F04" w14:textId="77777777" w:rsidR="00F977A3" w:rsidRPr="00BD0C24" w:rsidRDefault="00F977A3" w:rsidP="00F977A3"/>
    <w:p w14:paraId="543AAA3A" w14:textId="77777777" w:rsidR="00F977A3" w:rsidRDefault="00F977A3" w:rsidP="00F977A3">
      <w:pPr>
        <w:pStyle w:val="Bibliography"/>
        <w:ind w:left="426" w:hanging="426"/>
        <w:jc w:val="both"/>
        <w:rPr>
          <w:lang w:val="en-US"/>
        </w:rPr>
      </w:pPr>
      <w:r w:rsidRPr="00A635A9">
        <w:rPr>
          <w:lang w:val="en-US"/>
        </w:rPr>
        <w:t xml:space="preserve">Sallé, M. (2004). IT Service Management and IT Governance: review, comparative analysis and their impact on utility computing. </w:t>
      </w:r>
      <w:r w:rsidRPr="00A635A9">
        <w:rPr>
          <w:i/>
          <w:iCs/>
          <w:lang w:val="en-US"/>
        </w:rPr>
        <w:t>Hewlett-Packard Company</w:t>
      </w:r>
      <w:r w:rsidRPr="00A635A9">
        <w:rPr>
          <w:lang w:val="en-US"/>
        </w:rPr>
        <w:t>, 8–17.</w:t>
      </w:r>
    </w:p>
    <w:p w14:paraId="69A161BD" w14:textId="77777777" w:rsidR="00F977A3" w:rsidRPr="00BD0C24" w:rsidRDefault="00F977A3" w:rsidP="00F977A3"/>
    <w:p w14:paraId="6F2F745C" w14:textId="77777777" w:rsidR="00F977A3" w:rsidRDefault="00F977A3" w:rsidP="00F977A3">
      <w:pPr>
        <w:pStyle w:val="Bibliography"/>
        <w:ind w:left="426" w:hanging="426"/>
        <w:jc w:val="both"/>
        <w:rPr>
          <w:lang w:val="en-US"/>
        </w:rPr>
      </w:pPr>
      <w:r w:rsidRPr="00A635A9">
        <w:rPr>
          <w:lang w:val="en-US"/>
        </w:rPr>
        <w:t xml:space="preserve">Sirkin, H. L., Keenan, P., &amp; Jackson, A. (2005). The hard side of change management. </w:t>
      </w:r>
      <w:r w:rsidRPr="00A635A9">
        <w:rPr>
          <w:i/>
          <w:iCs/>
          <w:lang w:val="en-US"/>
        </w:rPr>
        <w:t>Harvard Business Review</w:t>
      </w:r>
      <w:r w:rsidRPr="00A635A9">
        <w:rPr>
          <w:lang w:val="en-US"/>
        </w:rPr>
        <w:t xml:space="preserve">, </w:t>
      </w:r>
      <w:r w:rsidRPr="00A635A9">
        <w:rPr>
          <w:i/>
          <w:iCs/>
          <w:lang w:val="en-US"/>
        </w:rPr>
        <w:t>83</w:t>
      </w:r>
      <w:r w:rsidRPr="00A635A9">
        <w:rPr>
          <w:lang w:val="en-US"/>
        </w:rPr>
        <w:t>(10), 108.</w:t>
      </w:r>
    </w:p>
    <w:p w14:paraId="0A8FF26C" w14:textId="77777777" w:rsidR="00F977A3" w:rsidRPr="00A77A2A" w:rsidRDefault="00F977A3" w:rsidP="00F977A3"/>
    <w:p w14:paraId="4F53DC98" w14:textId="77777777" w:rsidR="00F977A3" w:rsidRPr="00A635A9" w:rsidRDefault="00F977A3" w:rsidP="00F977A3">
      <w:pPr>
        <w:pStyle w:val="Bibliography"/>
        <w:ind w:left="426" w:hanging="426"/>
        <w:jc w:val="both"/>
        <w:rPr>
          <w:lang w:val="en-US"/>
        </w:rPr>
      </w:pPr>
      <w:r>
        <w:rPr>
          <w:lang w:val="en-US"/>
        </w:rPr>
        <w:fldChar w:fldCharType="end"/>
      </w:r>
      <w:r w:rsidRPr="00A77A2A">
        <w:rPr>
          <w:lang w:val="en-US"/>
        </w:rPr>
        <w:t xml:space="preserve"> </w:t>
      </w:r>
      <w:proofErr w:type="spellStart"/>
      <w:r>
        <w:rPr>
          <w:lang w:val="en-US"/>
        </w:rPr>
        <w:t>Thiollent</w:t>
      </w:r>
      <w:proofErr w:type="spellEnd"/>
      <w:r w:rsidRPr="00A635A9">
        <w:rPr>
          <w:lang w:val="en-US"/>
        </w:rPr>
        <w:t xml:space="preserve">, </w:t>
      </w:r>
      <w:r>
        <w:rPr>
          <w:lang w:val="en-US"/>
        </w:rPr>
        <w:t>M</w:t>
      </w:r>
      <w:r w:rsidRPr="00A635A9">
        <w:rPr>
          <w:lang w:val="en-US"/>
        </w:rPr>
        <w:t>. (</w:t>
      </w:r>
      <w:r>
        <w:rPr>
          <w:lang w:val="en-US"/>
        </w:rPr>
        <w:t>1997</w:t>
      </w:r>
      <w:r w:rsidRPr="00A635A9">
        <w:rPr>
          <w:lang w:val="en-US"/>
        </w:rPr>
        <w:t xml:space="preserve">). </w:t>
      </w:r>
      <w:proofErr w:type="spellStart"/>
      <w:proofErr w:type="gramStart"/>
      <w:r w:rsidRPr="00A76933">
        <w:rPr>
          <w:i/>
          <w:lang w:val="en-US"/>
        </w:rPr>
        <w:t>Pesquisa-Ação</w:t>
      </w:r>
      <w:proofErr w:type="spellEnd"/>
      <w:r w:rsidRPr="00A76933">
        <w:rPr>
          <w:i/>
          <w:lang w:val="en-US"/>
        </w:rPr>
        <w:t xml:space="preserve"> </w:t>
      </w:r>
      <w:proofErr w:type="spellStart"/>
      <w:r w:rsidRPr="00A76933">
        <w:rPr>
          <w:i/>
          <w:lang w:val="en-US"/>
        </w:rPr>
        <w:t>nas</w:t>
      </w:r>
      <w:proofErr w:type="spellEnd"/>
      <w:r w:rsidRPr="00A76933">
        <w:rPr>
          <w:i/>
          <w:lang w:val="en-US"/>
        </w:rPr>
        <w:t xml:space="preserve"> </w:t>
      </w:r>
      <w:proofErr w:type="spellStart"/>
      <w:r w:rsidRPr="00A76933">
        <w:rPr>
          <w:i/>
          <w:lang w:val="en-US"/>
        </w:rPr>
        <w:t>Organizações</w:t>
      </w:r>
      <w:proofErr w:type="spellEnd"/>
      <w:r w:rsidRPr="00A635A9">
        <w:rPr>
          <w:lang w:val="en-US"/>
        </w:rPr>
        <w:t>.</w:t>
      </w:r>
      <w:proofErr w:type="gramEnd"/>
      <w:r w:rsidRPr="00A635A9">
        <w:rPr>
          <w:lang w:val="en-US"/>
        </w:rPr>
        <w:t xml:space="preserve"> </w:t>
      </w:r>
      <w:r w:rsidRPr="00A76933">
        <w:rPr>
          <w:iCs/>
          <w:lang w:val="en-US"/>
        </w:rPr>
        <w:t>São Paulo: Atlas.</w:t>
      </w:r>
    </w:p>
    <w:p w14:paraId="5F42985F" w14:textId="77777777" w:rsidR="00F977A3" w:rsidRPr="00A77A2A" w:rsidRDefault="00F977A3" w:rsidP="00F977A3">
      <w:pPr>
        <w:pStyle w:val="ListParagraph"/>
        <w:ind w:left="426" w:hanging="426"/>
        <w:contextualSpacing/>
        <w:jc w:val="both"/>
        <w:rPr>
          <w:b/>
        </w:rPr>
      </w:pPr>
    </w:p>
    <w:p w14:paraId="18DC5698" w14:textId="77777777" w:rsidR="000F5A68" w:rsidRDefault="000F5A68"/>
    <w:sectPr w:rsidR="000F5A68" w:rsidSect="00393113">
      <w:footerReference w:type="default" r:id="rId13"/>
      <w:pgSz w:w="11907" w:h="16840" w:code="9"/>
      <w:pgMar w:top="1701" w:right="1134" w:bottom="1134" w:left="1701" w:header="709" w:footer="79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CAE55" w14:textId="77777777" w:rsidR="00393113" w:rsidRDefault="00393113" w:rsidP="00F977A3">
      <w:r>
        <w:separator/>
      </w:r>
    </w:p>
  </w:endnote>
  <w:endnote w:type="continuationSeparator" w:id="0">
    <w:p w14:paraId="3405E2EB" w14:textId="77777777" w:rsidR="00393113" w:rsidRDefault="00393113" w:rsidP="00F9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5A541" w14:textId="77777777" w:rsidR="00393113" w:rsidRPr="00A84AE4" w:rsidRDefault="00393113" w:rsidP="00393113">
    <w:pPr>
      <w:pStyle w:val="Footer"/>
      <w:jc w:val="cen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989AA" w14:textId="77777777" w:rsidR="00393113" w:rsidRDefault="00393113" w:rsidP="00F977A3">
      <w:r>
        <w:separator/>
      </w:r>
    </w:p>
  </w:footnote>
  <w:footnote w:type="continuationSeparator" w:id="0">
    <w:p w14:paraId="61F75608" w14:textId="77777777" w:rsidR="00393113" w:rsidRDefault="00393113" w:rsidP="00F977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92F66"/>
    <w:multiLevelType w:val="multilevel"/>
    <w:tmpl w:val="C1429FBA"/>
    <w:lvl w:ilvl="0">
      <w:start w:val="2"/>
      <w:numFmt w:val="decimal"/>
      <w:lvlText w:val="%1."/>
      <w:lvlJc w:val="left"/>
      <w:pPr>
        <w:ind w:left="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A3"/>
    <w:rsid w:val="000F5A68"/>
    <w:rsid w:val="001A1519"/>
    <w:rsid w:val="00393113"/>
    <w:rsid w:val="003E7883"/>
    <w:rsid w:val="00D6453F"/>
    <w:rsid w:val="00F977A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E449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47"/>
    <w:lsdException w:name="TOC Heading" w:uiPriority="39" w:qFormat="1"/>
  </w:latentStyles>
  <w:style w:type="paragraph" w:default="1" w:styleId="Normal">
    <w:name w:val="Normal"/>
    <w:qFormat/>
    <w:rsid w:val="00F977A3"/>
    <w:rPr>
      <w:rFonts w:ascii="Times New Roman" w:eastAsia="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77A3"/>
    <w:pPr>
      <w:tabs>
        <w:tab w:val="center" w:pos="4419"/>
        <w:tab w:val="right" w:pos="8838"/>
      </w:tabs>
    </w:pPr>
  </w:style>
  <w:style w:type="character" w:customStyle="1" w:styleId="HeaderChar">
    <w:name w:val="Header Char"/>
    <w:basedOn w:val="DefaultParagraphFont"/>
    <w:link w:val="Header"/>
    <w:rsid w:val="00F977A3"/>
    <w:rPr>
      <w:rFonts w:ascii="Times New Roman" w:eastAsia="Times New Roman" w:hAnsi="Times New Roman" w:cs="Times New Roman"/>
      <w:lang w:eastAsia="pt-BR"/>
    </w:rPr>
  </w:style>
  <w:style w:type="paragraph" w:styleId="Footer">
    <w:name w:val="footer"/>
    <w:basedOn w:val="Normal"/>
    <w:link w:val="FooterChar"/>
    <w:uiPriority w:val="99"/>
    <w:rsid w:val="00F977A3"/>
    <w:pPr>
      <w:tabs>
        <w:tab w:val="center" w:pos="4419"/>
        <w:tab w:val="right" w:pos="8838"/>
      </w:tabs>
    </w:pPr>
  </w:style>
  <w:style w:type="character" w:customStyle="1" w:styleId="FooterChar">
    <w:name w:val="Footer Char"/>
    <w:basedOn w:val="DefaultParagraphFont"/>
    <w:link w:val="Footer"/>
    <w:uiPriority w:val="99"/>
    <w:rsid w:val="00F977A3"/>
    <w:rPr>
      <w:rFonts w:ascii="Times New Roman" w:eastAsia="Times New Roman" w:hAnsi="Times New Roman" w:cs="Times New Roman"/>
      <w:lang w:eastAsia="pt-BR"/>
    </w:rPr>
  </w:style>
  <w:style w:type="paragraph" w:styleId="NormalWeb">
    <w:name w:val="Normal (Web)"/>
    <w:basedOn w:val="Normal"/>
    <w:rsid w:val="00F977A3"/>
    <w:pPr>
      <w:spacing w:before="100" w:beforeAutospacing="1" w:after="100" w:afterAutospacing="1"/>
    </w:pPr>
    <w:rPr>
      <w:rFonts w:ascii="Verdana" w:hAnsi="Verdana"/>
      <w:color w:val="003366"/>
      <w:sz w:val="17"/>
      <w:szCs w:val="17"/>
    </w:rPr>
  </w:style>
  <w:style w:type="paragraph" w:styleId="ListParagraph">
    <w:name w:val="List Paragraph"/>
    <w:basedOn w:val="Normal"/>
    <w:uiPriority w:val="34"/>
    <w:qFormat/>
    <w:rsid w:val="00F977A3"/>
    <w:pPr>
      <w:ind w:left="708"/>
    </w:pPr>
  </w:style>
  <w:style w:type="paragraph" w:styleId="Bibliography">
    <w:name w:val="Bibliography"/>
    <w:basedOn w:val="Normal"/>
    <w:next w:val="Normal"/>
    <w:uiPriority w:val="47"/>
    <w:rsid w:val="00F977A3"/>
  </w:style>
  <w:style w:type="paragraph" w:styleId="BalloonText">
    <w:name w:val="Balloon Text"/>
    <w:basedOn w:val="Normal"/>
    <w:link w:val="BalloonTextChar"/>
    <w:uiPriority w:val="99"/>
    <w:semiHidden/>
    <w:unhideWhenUsed/>
    <w:rsid w:val="00F977A3"/>
    <w:rPr>
      <w:rFonts w:ascii="Lucida Grande" w:hAnsi="Lucida Grande"/>
      <w:sz w:val="18"/>
      <w:szCs w:val="18"/>
    </w:rPr>
  </w:style>
  <w:style w:type="character" w:customStyle="1" w:styleId="BalloonTextChar">
    <w:name w:val="Balloon Text Char"/>
    <w:basedOn w:val="DefaultParagraphFont"/>
    <w:link w:val="BalloonText"/>
    <w:uiPriority w:val="99"/>
    <w:semiHidden/>
    <w:rsid w:val="00F977A3"/>
    <w:rPr>
      <w:rFonts w:ascii="Lucida Grande" w:eastAsia="Times New Roman" w:hAnsi="Lucida Grande" w:cs="Times New Roman"/>
      <w:sz w:val="18"/>
      <w:szCs w:val="18"/>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47"/>
    <w:lsdException w:name="TOC Heading" w:uiPriority="39" w:qFormat="1"/>
  </w:latentStyles>
  <w:style w:type="paragraph" w:default="1" w:styleId="Normal">
    <w:name w:val="Normal"/>
    <w:qFormat/>
    <w:rsid w:val="00F977A3"/>
    <w:rPr>
      <w:rFonts w:ascii="Times New Roman" w:eastAsia="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77A3"/>
    <w:pPr>
      <w:tabs>
        <w:tab w:val="center" w:pos="4419"/>
        <w:tab w:val="right" w:pos="8838"/>
      </w:tabs>
    </w:pPr>
  </w:style>
  <w:style w:type="character" w:customStyle="1" w:styleId="HeaderChar">
    <w:name w:val="Header Char"/>
    <w:basedOn w:val="DefaultParagraphFont"/>
    <w:link w:val="Header"/>
    <w:rsid w:val="00F977A3"/>
    <w:rPr>
      <w:rFonts w:ascii="Times New Roman" w:eastAsia="Times New Roman" w:hAnsi="Times New Roman" w:cs="Times New Roman"/>
      <w:lang w:eastAsia="pt-BR"/>
    </w:rPr>
  </w:style>
  <w:style w:type="paragraph" w:styleId="Footer">
    <w:name w:val="footer"/>
    <w:basedOn w:val="Normal"/>
    <w:link w:val="FooterChar"/>
    <w:uiPriority w:val="99"/>
    <w:rsid w:val="00F977A3"/>
    <w:pPr>
      <w:tabs>
        <w:tab w:val="center" w:pos="4419"/>
        <w:tab w:val="right" w:pos="8838"/>
      </w:tabs>
    </w:pPr>
  </w:style>
  <w:style w:type="character" w:customStyle="1" w:styleId="FooterChar">
    <w:name w:val="Footer Char"/>
    <w:basedOn w:val="DefaultParagraphFont"/>
    <w:link w:val="Footer"/>
    <w:uiPriority w:val="99"/>
    <w:rsid w:val="00F977A3"/>
    <w:rPr>
      <w:rFonts w:ascii="Times New Roman" w:eastAsia="Times New Roman" w:hAnsi="Times New Roman" w:cs="Times New Roman"/>
      <w:lang w:eastAsia="pt-BR"/>
    </w:rPr>
  </w:style>
  <w:style w:type="paragraph" w:styleId="NormalWeb">
    <w:name w:val="Normal (Web)"/>
    <w:basedOn w:val="Normal"/>
    <w:rsid w:val="00F977A3"/>
    <w:pPr>
      <w:spacing w:before="100" w:beforeAutospacing="1" w:after="100" w:afterAutospacing="1"/>
    </w:pPr>
    <w:rPr>
      <w:rFonts w:ascii="Verdana" w:hAnsi="Verdana"/>
      <w:color w:val="003366"/>
      <w:sz w:val="17"/>
      <w:szCs w:val="17"/>
    </w:rPr>
  </w:style>
  <w:style w:type="paragraph" w:styleId="ListParagraph">
    <w:name w:val="List Paragraph"/>
    <w:basedOn w:val="Normal"/>
    <w:uiPriority w:val="34"/>
    <w:qFormat/>
    <w:rsid w:val="00F977A3"/>
    <w:pPr>
      <w:ind w:left="708"/>
    </w:pPr>
  </w:style>
  <w:style w:type="paragraph" w:styleId="Bibliography">
    <w:name w:val="Bibliography"/>
    <w:basedOn w:val="Normal"/>
    <w:next w:val="Normal"/>
    <w:uiPriority w:val="47"/>
    <w:rsid w:val="00F977A3"/>
  </w:style>
  <w:style w:type="paragraph" w:styleId="BalloonText">
    <w:name w:val="Balloon Text"/>
    <w:basedOn w:val="Normal"/>
    <w:link w:val="BalloonTextChar"/>
    <w:uiPriority w:val="99"/>
    <w:semiHidden/>
    <w:unhideWhenUsed/>
    <w:rsid w:val="00F977A3"/>
    <w:rPr>
      <w:rFonts w:ascii="Lucida Grande" w:hAnsi="Lucida Grande"/>
      <w:sz w:val="18"/>
      <w:szCs w:val="18"/>
    </w:rPr>
  </w:style>
  <w:style w:type="character" w:customStyle="1" w:styleId="BalloonTextChar">
    <w:name w:val="Balloon Text Char"/>
    <w:basedOn w:val="DefaultParagraphFont"/>
    <w:link w:val="BalloonText"/>
    <w:uiPriority w:val="99"/>
    <w:semiHidden/>
    <w:rsid w:val="00F977A3"/>
    <w:rPr>
      <w:rFonts w:ascii="Lucida Grande" w:eastAsia="Times New Roman" w:hAnsi="Lucida Grande" w:cs="Times New Roman"/>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73226B-DAD2-4C3F-9632-9FDB3F54D9FD}" type="doc">
      <dgm:prSet loTypeId="urn:microsoft.com/office/officeart/2005/8/layout/process1" loCatId="process" qsTypeId="urn:microsoft.com/office/officeart/2005/8/quickstyle/simple1" qsCatId="simple" csTypeId="urn:microsoft.com/office/officeart/2005/8/colors/accent0_1" csCatId="mainScheme" phldr="1"/>
      <dgm:spPr/>
    </dgm:pt>
    <dgm:pt modelId="{EF4032CB-7258-4461-A4BB-B9DF52C2CF4A}">
      <dgm:prSet phldrT="[Text]" custT="1"/>
      <dgm:spPr>
        <a:xfrm>
          <a:off x="7380" y="0"/>
          <a:ext cx="1417521" cy="58479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endParaRPr lang="en-US" sz="1200">
            <a:solidFill>
              <a:sysClr val="windowText" lastClr="000000">
                <a:hueOff val="0"/>
                <a:satOff val="0"/>
                <a:lumOff val="0"/>
                <a:alphaOff val="0"/>
              </a:sysClr>
            </a:solidFill>
            <a:latin typeface="Calibri"/>
            <a:ea typeface="+mn-ea"/>
            <a:cs typeface="+mn-cs"/>
          </a:endParaRPr>
        </a:p>
        <a:p>
          <a:r>
            <a:rPr lang="en-US" sz="1200">
              <a:solidFill>
                <a:sysClr val="windowText" lastClr="000000">
                  <a:hueOff val="0"/>
                  <a:satOff val="0"/>
                  <a:lumOff val="0"/>
                  <a:alphaOff val="0"/>
                </a:sysClr>
              </a:solidFill>
              <a:latin typeface="Calibri"/>
              <a:ea typeface="+mn-ea"/>
              <a:cs typeface="+mn-cs"/>
            </a:rPr>
            <a:t>Fase exploratória e aprofundada</a:t>
          </a:r>
        </a:p>
        <a:p>
          <a:r>
            <a:rPr lang="en-US" sz="1200">
              <a:solidFill>
                <a:sysClr val="windowText" lastClr="000000">
                  <a:hueOff val="0"/>
                  <a:satOff val="0"/>
                  <a:lumOff val="0"/>
                  <a:alphaOff val="0"/>
                </a:sysClr>
              </a:solidFill>
              <a:latin typeface="Calibri"/>
              <a:ea typeface="+mn-ea"/>
              <a:cs typeface="+mn-cs"/>
            </a:rPr>
            <a:t>Itens 4.1 e 4.2</a:t>
          </a:r>
        </a:p>
        <a:p>
          <a:endParaRPr lang="en-US" sz="1200">
            <a:solidFill>
              <a:sysClr val="windowText" lastClr="000000">
                <a:hueOff val="0"/>
                <a:satOff val="0"/>
                <a:lumOff val="0"/>
                <a:alphaOff val="0"/>
              </a:sysClr>
            </a:solidFill>
            <a:latin typeface="Calibri"/>
            <a:ea typeface="+mn-ea"/>
            <a:cs typeface="+mn-cs"/>
          </a:endParaRPr>
        </a:p>
      </dgm:t>
    </dgm:pt>
    <dgm:pt modelId="{09AD15A7-B814-436D-BD01-FF84E8E251CB}" type="parTrans" cxnId="{D8350A2E-369D-43D6-89CE-531AE057CC66}">
      <dgm:prSet/>
      <dgm:spPr/>
      <dgm:t>
        <a:bodyPr/>
        <a:lstStyle/>
        <a:p>
          <a:endParaRPr lang="en-US" sz="1200">
            <a:latin typeface="+mj-lt"/>
          </a:endParaRPr>
        </a:p>
      </dgm:t>
    </dgm:pt>
    <dgm:pt modelId="{31107493-5F55-4426-8048-387189243F95}" type="sibTrans" cxnId="{D8350A2E-369D-43D6-89CE-531AE057CC66}">
      <dgm:prSet custT="1"/>
      <dgm:spPr>
        <a:xfrm>
          <a:off x="1566653" y="116622"/>
          <a:ext cx="300514" cy="351545"/>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200">
            <a:solidFill>
              <a:sysClr val="windowText" lastClr="000000">
                <a:hueOff val="0"/>
                <a:satOff val="0"/>
                <a:lumOff val="0"/>
                <a:alphaOff val="0"/>
              </a:sysClr>
            </a:solidFill>
            <a:latin typeface="Calibri"/>
            <a:ea typeface="+mn-ea"/>
            <a:cs typeface="+mn-cs"/>
          </a:endParaRPr>
        </a:p>
      </dgm:t>
    </dgm:pt>
    <dgm:pt modelId="{7495181A-5F2B-4B67-B12D-CF68CA04613F}">
      <dgm:prSet phldrT="[Text]" custT="1"/>
      <dgm:spPr>
        <a:xfrm>
          <a:off x="1991909" y="0"/>
          <a:ext cx="1417521" cy="58479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Fase ação</a:t>
          </a:r>
        </a:p>
        <a:p>
          <a:r>
            <a:rPr lang="en-US" sz="1200">
              <a:solidFill>
                <a:sysClr val="windowText" lastClr="000000">
                  <a:hueOff val="0"/>
                  <a:satOff val="0"/>
                  <a:lumOff val="0"/>
                  <a:alphaOff val="0"/>
                </a:sysClr>
              </a:solidFill>
              <a:latin typeface="Calibri"/>
              <a:ea typeface="+mn-ea"/>
              <a:cs typeface="+mn-cs"/>
            </a:rPr>
            <a:t>Item 4.3</a:t>
          </a:r>
        </a:p>
      </dgm:t>
    </dgm:pt>
    <dgm:pt modelId="{87AE7193-618C-48A7-8348-7DDF17E4E02F}" type="parTrans" cxnId="{CB575C53-008A-442E-BA64-782761F0E2DC}">
      <dgm:prSet/>
      <dgm:spPr/>
      <dgm:t>
        <a:bodyPr/>
        <a:lstStyle/>
        <a:p>
          <a:endParaRPr lang="en-US" sz="1200">
            <a:latin typeface="+mj-lt"/>
          </a:endParaRPr>
        </a:p>
      </dgm:t>
    </dgm:pt>
    <dgm:pt modelId="{F5E99A5B-ECA8-4BFB-8657-DAEB532B6473}" type="sibTrans" cxnId="{CB575C53-008A-442E-BA64-782761F0E2DC}">
      <dgm:prSet custT="1"/>
      <dgm:spPr>
        <a:xfrm>
          <a:off x="3551182" y="116622"/>
          <a:ext cx="300514" cy="351545"/>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200">
            <a:solidFill>
              <a:sysClr val="windowText" lastClr="000000">
                <a:hueOff val="0"/>
                <a:satOff val="0"/>
                <a:lumOff val="0"/>
                <a:alphaOff val="0"/>
              </a:sysClr>
            </a:solidFill>
            <a:latin typeface="Calibri"/>
            <a:ea typeface="+mn-ea"/>
            <a:cs typeface="+mn-cs"/>
          </a:endParaRPr>
        </a:p>
      </dgm:t>
    </dgm:pt>
    <dgm:pt modelId="{77D903A1-67FE-4202-B94A-B1B6D64C1976}">
      <dgm:prSet phldrT="[Text]" custT="1"/>
      <dgm:spPr>
        <a:xfrm>
          <a:off x="3976438" y="0"/>
          <a:ext cx="1417521" cy="58479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200">
              <a:solidFill>
                <a:sysClr val="windowText" lastClr="000000">
                  <a:hueOff val="0"/>
                  <a:satOff val="0"/>
                  <a:lumOff val="0"/>
                  <a:alphaOff val="0"/>
                </a:sysClr>
              </a:solidFill>
              <a:latin typeface="Calibri"/>
              <a:ea typeface="+mn-ea"/>
              <a:cs typeface="+mn-cs"/>
            </a:rPr>
            <a:t>Fase avaliação</a:t>
          </a:r>
        </a:p>
        <a:p>
          <a:r>
            <a:rPr lang="en-US" sz="1200">
              <a:solidFill>
                <a:sysClr val="windowText" lastClr="000000">
                  <a:hueOff val="0"/>
                  <a:satOff val="0"/>
                  <a:lumOff val="0"/>
                  <a:alphaOff val="0"/>
                </a:sysClr>
              </a:solidFill>
              <a:latin typeface="Calibri"/>
              <a:ea typeface="+mn-ea"/>
              <a:cs typeface="+mn-cs"/>
            </a:rPr>
            <a:t>Item 5</a:t>
          </a:r>
        </a:p>
      </dgm:t>
    </dgm:pt>
    <dgm:pt modelId="{89BBD5CC-893D-4C74-8795-D2F63D14B6AF}" type="parTrans" cxnId="{A0A78A5F-7E23-4129-88B0-83DCAD757EB1}">
      <dgm:prSet/>
      <dgm:spPr/>
      <dgm:t>
        <a:bodyPr/>
        <a:lstStyle/>
        <a:p>
          <a:endParaRPr lang="en-US" sz="1200">
            <a:latin typeface="+mj-lt"/>
          </a:endParaRPr>
        </a:p>
      </dgm:t>
    </dgm:pt>
    <dgm:pt modelId="{E7E9DE50-071B-4194-878A-D9355E9A0BE9}" type="sibTrans" cxnId="{A0A78A5F-7E23-4129-88B0-83DCAD757EB1}">
      <dgm:prSet/>
      <dgm:spPr/>
      <dgm:t>
        <a:bodyPr/>
        <a:lstStyle/>
        <a:p>
          <a:endParaRPr lang="en-US" sz="1200">
            <a:latin typeface="+mj-lt"/>
          </a:endParaRPr>
        </a:p>
      </dgm:t>
    </dgm:pt>
    <dgm:pt modelId="{5E383259-D8E6-4080-9A5C-2A61CC70239D}" type="pres">
      <dgm:prSet presAssocID="{CF73226B-DAD2-4C3F-9632-9FDB3F54D9FD}" presName="Name0" presStyleCnt="0">
        <dgm:presLayoutVars>
          <dgm:dir/>
          <dgm:resizeHandles val="exact"/>
        </dgm:presLayoutVars>
      </dgm:prSet>
      <dgm:spPr/>
    </dgm:pt>
    <dgm:pt modelId="{EE8E54D4-9489-4C8E-8682-2B584B99F39A}" type="pres">
      <dgm:prSet presAssocID="{EF4032CB-7258-4461-A4BB-B9DF52C2CF4A}" presName="node" presStyleLbl="node1" presStyleIdx="0" presStyleCnt="3">
        <dgm:presLayoutVars>
          <dgm:bulletEnabled val="1"/>
        </dgm:presLayoutVars>
      </dgm:prSet>
      <dgm:spPr/>
      <dgm:t>
        <a:bodyPr/>
        <a:lstStyle/>
        <a:p>
          <a:endParaRPr lang="en-US"/>
        </a:p>
      </dgm:t>
    </dgm:pt>
    <dgm:pt modelId="{596E8E55-E573-4F70-A69C-6D54993063A3}" type="pres">
      <dgm:prSet presAssocID="{31107493-5F55-4426-8048-387189243F95}" presName="sibTrans" presStyleLbl="sibTrans2D1" presStyleIdx="0" presStyleCnt="2"/>
      <dgm:spPr/>
      <dgm:t>
        <a:bodyPr/>
        <a:lstStyle/>
        <a:p>
          <a:endParaRPr lang="en-US"/>
        </a:p>
      </dgm:t>
    </dgm:pt>
    <dgm:pt modelId="{1015EA3D-4E7E-4640-B19C-9E5145C88A10}" type="pres">
      <dgm:prSet presAssocID="{31107493-5F55-4426-8048-387189243F95}" presName="connectorText" presStyleLbl="sibTrans2D1" presStyleIdx="0" presStyleCnt="2"/>
      <dgm:spPr/>
      <dgm:t>
        <a:bodyPr/>
        <a:lstStyle/>
        <a:p>
          <a:endParaRPr lang="en-US"/>
        </a:p>
      </dgm:t>
    </dgm:pt>
    <dgm:pt modelId="{E7A3B82D-83A4-402D-AA88-00464CAFAB43}" type="pres">
      <dgm:prSet presAssocID="{7495181A-5F2B-4B67-B12D-CF68CA04613F}" presName="node" presStyleLbl="node1" presStyleIdx="1" presStyleCnt="3">
        <dgm:presLayoutVars>
          <dgm:bulletEnabled val="1"/>
        </dgm:presLayoutVars>
      </dgm:prSet>
      <dgm:spPr/>
      <dgm:t>
        <a:bodyPr/>
        <a:lstStyle/>
        <a:p>
          <a:endParaRPr lang="en-US"/>
        </a:p>
      </dgm:t>
    </dgm:pt>
    <dgm:pt modelId="{2D0B911C-2B26-4C38-8B65-87E2C4A842FB}" type="pres">
      <dgm:prSet presAssocID="{F5E99A5B-ECA8-4BFB-8657-DAEB532B6473}" presName="sibTrans" presStyleLbl="sibTrans2D1" presStyleIdx="1" presStyleCnt="2"/>
      <dgm:spPr/>
      <dgm:t>
        <a:bodyPr/>
        <a:lstStyle/>
        <a:p>
          <a:endParaRPr lang="en-US"/>
        </a:p>
      </dgm:t>
    </dgm:pt>
    <dgm:pt modelId="{1B1323A0-7416-485C-8FD3-A1AC11D48805}" type="pres">
      <dgm:prSet presAssocID="{F5E99A5B-ECA8-4BFB-8657-DAEB532B6473}" presName="connectorText" presStyleLbl="sibTrans2D1" presStyleIdx="1" presStyleCnt="2"/>
      <dgm:spPr/>
      <dgm:t>
        <a:bodyPr/>
        <a:lstStyle/>
        <a:p>
          <a:endParaRPr lang="en-US"/>
        </a:p>
      </dgm:t>
    </dgm:pt>
    <dgm:pt modelId="{0A2CA7DC-7970-4FCD-BBA4-500F264E472C}" type="pres">
      <dgm:prSet presAssocID="{77D903A1-67FE-4202-B94A-B1B6D64C1976}" presName="node" presStyleLbl="node1" presStyleIdx="2" presStyleCnt="3">
        <dgm:presLayoutVars>
          <dgm:bulletEnabled val="1"/>
        </dgm:presLayoutVars>
      </dgm:prSet>
      <dgm:spPr/>
      <dgm:t>
        <a:bodyPr/>
        <a:lstStyle/>
        <a:p>
          <a:endParaRPr lang="en-US"/>
        </a:p>
      </dgm:t>
    </dgm:pt>
  </dgm:ptLst>
  <dgm:cxnLst>
    <dgm:cxn modelId="{CB575C53-008A-442E-BA64-782761F0E2DC}" srcId="{CF73226B-DAD2-4C3F-9632-9FDB3F54D9FD}" destId="{7495181A-5F2B-4B67-B12D-CF68CA04613F}" srcOrd="1" destOrd="0" parTransId="{87AE7193-618C-48A7-8348-7DDF17E4E02F}" sibTransId="{F5E99A5B-ECA8-4BFB-8657-DAEB532B6473}"/>
    <dgm:cxn modelId="{DA23EEDA-311A-4842-B320-4AB33D01A911}" type="presOf" srcId="{7495181A-5F2B-4B67-B12D-CF68CA04613F}" destId="{E7A3B82D-83A4-402D-AA88-00464CAFAB43}" srcOrd="0" destOrd="0" presId="urn:microsoft.com/office/officeart/2005/8/layout/process1"/>
    <dgm:cxn modelId="{B6B7E91E-F1B8-6E48-87A3-3EC49B244E80}" type="presOf" srcId="{77D903A1-67FE-4202-B94A-B1B6D64C1976}" destId="{0A2CA7DC-7970-4FCD-BBA4-500F264E472C}" srcOrd="0" destOrd="0" presId="urn:microsoft.com/office/officeart/2005/8/layout/process1"/>
    <dgm:cxn modelId="{34360E7B-AA59-F64B-86FA-5B9F9E8D2F04}" type="presOf" srcId="{CF73226B-DAD2-4C3F-9632-9FDB3F54D9FD}" destId="{5E383259-D8E6-4080-9A5C-2A61CC70239D}" srcOrd="0" destOrd="0" presId="urn:microsoft.com/office/officeart/2005/8/layout/process1"/>
    <dgm:cxn modelId="{44012141-D10E-5E47-8C43-0C3880EEEAF4}" type="presOf" srcId="{EF4032CB-7258-4461-A4BB-B9DF52C2CF4A}" destId="{EE8E54D4-9489-4C8E-8682-2B584B99F39A}" srcOrd="0" destOrd="0" presId="urn:microsoft.com/office/officeart/2005/8/layout/process1"/>
    <dgm:cxn modelId="{5E7DA541-7449-CE47-9C12-DB61B612D483}" type="presOf" srcId="{F5E99A5B-ECA8-4BFB-8657-DAEB532B6473}" destId="{1B1323A0-7416-485C-8FD3-A1AC11D48805}" srcOrd="1" destOrd="0" presId="urn:microsoft.com/office/officeart/2005/8/layout/process1"/>
    <dgm:cxn modelId="{D8350A2E-369D-43D6-89CE-531AE057CC66}" srcId="{CF73226B-DAD2-4C3F-9632-9FDB3F54D9FD}" destId="{EF4032CB-7258-4461-A4BB-B9DF52C2CF4A}" srcOrd="0" destOrd="0" parTransId="{09AD15A7-B814-436D-BD01-FF84E8E251CB}" sibTransId="{31107493-5F55-4426-8048-387189243F95}"/>
    <dgm:cxn modelId="{747E0DED-BF0F-4C40-95C6-98DB41242C54}" type="presOf" srcId="{F5E99A5B-ECA8-4BFB-8657-DAEB532B6473}" destId="{2D0B911C-2B26-4C38-8B65-87E2C4A842FB}" srcOrd="0" destOrd="0" presId="urn:microsoft.com/office/officeart/2005/8/layout/process1"/>
    <dgm:cxn modelId="{DECCF1B4-ACAC-E746-A7D4-B4B48D2C00BB}" type="presOf" srcId="{31107493-5F55-4426-8048-387189243F95}" destId="{596E8E55-E573-4F70-A69C-6D54993063A3}" srcOrd="0" destOrd="0" presId="urn:microsoft.com/office/officeart/2005/8/layout/process1"/>
    <dgm:cxn modelId="{A0A78A5F-7E23-4129-88B0-83DCAD757EB1}" srcId="{CF73226B-DAD2-4C3F-9632-9FDB3F54D9FD}" destId="{77D903A1-67FE-4202-B94A-B1B6D64C1976}" srcOrd="2" destOrd="0" parTransId="{89BBD5CC-893D-4C74-8795-D2F63D14B6AF}" sibTransId="{E7E9DE50-071B-4194-878A-D9355E9A0BE9}"/>
    <dgm:cxn modelId="{A65DEF47-EA17-3044-B3BC-0B8156D955C4}" type="presOf" srcId="{31107493-5F55-4426-8048-387189243F95}" destId="{1015EA3D-4E7E-4640-B19C-9E5145C88A10}" srcOrd="1" destOrd="0" presId="urn:microsoft.com/office/officeart/2005/8/layout/process1"/>
    <dgm:cxn modelId="{914E327E-F186-6544-82E9-F3A1E75CED2D}" type="presParOf" srcId="{5E383259-D8E6-4080-9A5C-2A61CC70239D}" destId="{EE8E54D4-9489-4C8E-8682-2B584B99F39A}" srcOrd="0" destOrd="0" presId="urn:microsoft.com/office/officeart/2005/8/layout/process1"/>
    <dgm:cxn modelId="{1892A784-471B-9A41-91E4-B6C419AD07D5}" type="presParOf" srcId="{5E383259-D8E6-4080-9A5C-2A61CC70239D}" destId="{596E8E55-E573-4F70-A69C-6D54993063A3}" srcOrd="1" destOrd="0" presId="urn:microsoft.com/office/officeart/2005/8/layout/process1"/>
    <dgm:cxn modelId="{451B5DE3-036C-0840-ACBF-741F8E17626F}" type="presParOf" srcId="{596E8E55-E573-4F70-A69C-6D54993063A3}" destId="{1015EA3D-4E7E-4640-B19C-9E5145C88A10}" srcOrd="0" destOrd="0" presId="urn:microsoft.com/office/officeart/2005/8/layout/process1"/>
    <dgm:cxn modelId="{BA88220C-6A06-1B43-8DE4-A388AB793569}" type="presParOf" srcId="{5E383259-D8E6-4080-9A5C-2A61CC70239D}" destId="{E7A3B82D-83A4-402D-AA88-00464CAFAB43}" srcOrd="2" destOrd="0" presId="urn:microsoft.com/office/officeart/2005/8/layout/process1"/>
    <dgm:cxn modelId="{8A11F672-1B72-EE48-BED8-B498CC4E1312}" type="presParOf" srcId="{5E383259-D8E6-4080-9A5C-2A61CC70239D}" destId="{2D0B911C-2B26-4C38-8B65-87E2C4A842FB}" srcOrd="3" destOrd="0" presId="urn:microsoft.com/office/officeart/2005/8/layout/process1"/>
    <dgm:cxn modelId="{542BB670-A404-7744-BFF9-73149988B405}" type="presParOf" srcId="{2D0B911C-2B26-4C38-8B65-87E2C4A842FB}" destId="{1B1323A0-7416-485C-8FD3-A1AC11D48805}" srcOrd="0" destOrd="0" presId="urn:microsoft.com/office/officeart/2005/8/layout/process1"/>
    <dgm:cxn modelId="{E0591BBF-1FBC-4E49-9DFB-38AF565A7CBF}" type="presParOf" srcId="{5E383259-D8E6-4080-9A5C-2A61CC70239D}" destId="{0A2CA7DC-7970-4FCD-BBA4-500F264E472C}"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8E54D4-9489-4C8E-8682-2B584B99F39A}">
      <dsp:nvSpPr>
        <dsp:cNvPr id="0" name=""/>
        <dsp:cNvSpPr/>
      </dsp:nvSpPr>
      <dsp:spPr>
        <a:xfrm>
          <a:off x="5136" y="0"/>
          <a:ext cx="986559" cy="39878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Fase exploratória e aprofundada</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Itens 4.1 e 4.2</a:t>
          </a:r>
        </a:p>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a:off x="16816" y="11680"/>
        <a:ext cx="963199" cy="375420"/>
      </dsp:txXfrm>
    </dsp:sp>
    <dsp:sp modelId="{596E8E55-E573-4F70-A69C-6D54993063A3}">
      <dsp:nvSpPr>
        <dsp:cNvPr id="0" name=""/>
        <dsp:cNvSpPr/>
      </dsp:nvSpPr>
      <dsp:spPr>
        <a:xfrm>
          <a:off x="1090352" y="77056"/>
          <a:ext cx="209150" cy="24466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a:off x="1090352" y="125989"/>
        <a:ext cx="146405" cy="146800"/>
      </dsp:txXfrm>
    </dsp:sp>
    <dsp:sp modelId="{E7A3B82D-83A4-402D-AA88-00464CAFAB43}">
      <dsp:nvSpPr>
        <dsp:cNvPr id="0" name=""/>
        <dsp:cNvSpPr/>
      </dsp:nvSpPr>
      <dsp:spPr>
        <a:xfrm>
          <a:off x="1386320" y="0"/>
          <a:ext cx="986559" cy="39878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Fase ação</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Item 4.3</a:t>
          </a:r>
        </a:p>
      </dsp:txBody>
      <dsp:txXfrm>
        <a:off x="1398000" y="11680"/>
        <a:ext cx="963199" cy="375420"/>
      </dsp:txXfrm>
    </dsp:sp>
    <dsp:sp modelId="{2D0B911C-2B26-4C38-8B65-87E2C4A842FB}">
      <dsp:nvSpPr>
        <dsp:cNvPr id="0" name=""/>
        <dsp:cNvSpPr/>
      </dsp:nvSpPr>
      <dsp:spPr>
        <a:xfrm>
          <a:off x="2471535" y="77056"/>
          <a:ext cx="209150" cy="24466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a:off x="2471535" y="125989"/>
        <a:ext cx="146405" cy="146800"/>
      </dsp:txXfrm>
    </dsp:sp>
    <dsp:sp modelId="{0A2CA7DC-7970-4FCD-BBA4-500F264E472C}">
      <dsp:nvSpPr>
        <dsp:cNvPr id="0" name=""/>
        <dsp:cNvSpPr/>
      </dsp:nvSpPr>
      <dsp:spPr>
        <a:xfrm>
          <a:off x="2767503" y="0"/>
          <a:ext cx="986559" cy="39878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Fase avaliação</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Item 5</a:t>
          </a:r>
        </a:p>
      </dsp:txBody>
      <dsp:txXfrm>
        <a:off x="2779183" y="11680"/>
        <a:ext cx="963199" cy="3754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5997</Words>
  <Characters>34185</Characters>
  <Application>Microsoft Macintosh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Ariane Santos</cp:lastModifiedBy>
  <cp:revision>4</cp:revision>
  <dcterms:created xsi:type="dcterms:W3CDTF">2015-11-18T23:56:00Z</dcterms:created>
  <dcterms:modified xsi:type="dcterms:W3CDTF">2015-11-25T00:01:00Z</dcterms:modified>
  <cp:category/>
</cp:coreProperties>
</file>